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14:shadow w14:blurRad="50800" w14:dist="38100" w14:dir="2700000" w14:sx="100000" w14:sy="100000" w14:kx="0" w14:ky="0" w14:algn="tl">
            <w14:srgbClr w14:val="000000">
              <w14:alpha w14:val="60000"/>
            </w14:srgbClr>
          </w14:shadow>
        </w:rPr>
      </w:pPr>
      <w:r>
        <w:rPr>
          <w:rFonts w:hint="eastAsia" w:ascii="宋体" w:hAnsi="宋体"/>
          <w:sz w:val="36"/>
          <w:szCs w:val="36"/>
        </w:rPr>
        <w:drawing>
          <wp:anchor distT="0" distB="0" distL="114300" distR="114300" simplePos="0" relativeHeight="251659264" behindDoc="0" locked="0" layoutInCell="1" allowOverlap="1">
            <wp:simplePos x="0" y="0"/>
            <wp:positionH relativeFrom="column">
              <wp:posOffset>-41275</wp:posOffset>
            </wp:positionH>
            <wp:positionV relativeFrom="paragraph">
              <wp:posOffset>-17780</wp:posOffset>
            </wp:positionV>
            <wp:extent cx="551815" cy="551815"/>
            <wp:effectExtent l="0" t="0" r="635" b="635"/>
            <wp:wrapNone/>
            <wp:docPr id="3" name="图片 2" descr="5848141412019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84814141201997454"/>
                    <pic:cNvPicPr>
                      <a:picLocks noChangeAspect="1"/>
                    </pic:cNvPicPr>
                  </pic:nvPicPr>
                  <pic:blipFill>
                    <a:blip r:embed="rId8"/>
                    <a:stretch>
                      <a:fillRect/>
                    </a:stretch>
                  </pic:blipFill>
                  <pic:spPr>
                    <a:xfrm>
                      <a:off x="0" y="0"/>
                      <a:ext cx="551815" cy="5518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cs="宋体"/>
          <w:b/>
          <w:bCs/>
          <w:kern w:val="0"/>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kern w:val="0"/>
          <w:sz w:val="36"/>
          <w:szCs w:val="36"/>
          <w:u w:val="none"/>
          <w:lang w:eastAsia="zh-CN"/>
        </w:rPr>
      </w:pPr>
      <w:r>
        <w:rPr>
          <w:rFonts w:hint="eastAsia" w:ascii="宋体" w:hAnsi="宋体" w:cs="宋体"/>
          <w:b/>
          <w:bCs/>
          <w:kern w:val="0"/>
          <w:sz w:val="36"/>
          <w:szCs w:val="36"/>
          <w:u w:val="none"/>
          <w:lang w:eastAsia="zh-CN"/>
        </w:rPr>
        <w:t>仙桃市耕地资源质量分类</w:t>
      </w:r>
      <w:r>
        <w:rPr>
          <w:rFonts w:hint="eastAsia" w:ascii="宋体" w:hAnsi="宋体" w:cs="宋体"/>
          <w:b/>
          <w:bCs/>
          <w:kern w:val="0"/>
          <w:sz w:val="36"/>
          <w:szCs w:val="36"/>
          <w:u w:val="none"/>
          <w:lang w:val="en-US" w:eastAsia="zh-CN"/>
        </w:rPr>
        <w:t>2022</w:t>
      </w:r>
      <w:r>
        <w:rPr>
          <w:rFonts w:hint="eastAsia" w:ascii="宋体" w:hAnsi="宋体" w:cs="宋体"/>
          <w:b/>
          <w:bCs/>
          <w:kern w:val="0"/>
          <w:sz w:val="36"/>
          <w:szCs w:val="36"/>
          <w:u w:val="none"/>
          <w:lang w:eastAsia="zh-CN"/>
        </w:rPr>
        <w:t>年度更新与监测服务</w:t>
      </w:r>
    </w:p>
    <w:p>
      <w:pPr>
        <w:pStyle w:val="17"/>
        <w:rPr>
          <w:rFonts w:hint="eastAsia"/>
          <w:lang w:eastAsia="zh-CN"/>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b/>
          <w:bCs/>
          <w:sz w:val="72"/>
          <w:szCs w:val="72"/>
          <w14:shadow w14:blurRad="50800" w14:dist="38100" w14:dir="2700000" w14:sx="100000" w14:sy="100000" w14:kx="0" w14:ky="0" w14:algn="tl">
            <w14:srgbClr w14:val="000000">
              <w14:alpha w14:val="60000"/>
            </w14:srgbClr>
          </w14:shadow>
        </w:rPr>
      </w:pPr>
      <w:r>
        <w:rPr>
          <w:rFonts w:hint="eastAsia" w:ascii="宋体" w:hAnsi="宋体"/>
          <w:b/>
          <w:bCs/>
          <w:sz w:val="72"/>
          <w:szCs w:val="72"/>
          <w14:shadow w14:blurRad="50800" w14:dist="38100" w14:dir="2700000" w14:sx="100000" w14:sy="100000" w14:kx="0" w14:ky="0" w14:algn="tl">
            <w14:srgbClr w14:val="000000">
              <w14:alpha w14:val="60000"/>
            </w14:srgbClr>
          </w14:shadow>
        </w:rPr>
        <w:t>询 价 文 件</w:t>
      </w:r>
    </w:p>
    <w:p>
      <w:pPr>
        <w:jc w:val="center"/>
        <w:rPr>
          <w:rFonts w:hint="eastAsia" w:ascii="宋体" w:hAnsi="宋体"/>
          <w:b/>
          <w:bCs/>
          <w:sz w:val="28"/>
          <w:szCs w:val="28"/>
        </w:rPr>
      </w:pPr>
    </w:p>
    <w:p>
      <w:pPr>
        <w:jc w:val="center"/>
        <w:rPr>
          <w:rFonts w:ascii="宋体" w:hAnsi="宋体"/>
          <w:b/>
          <w:sz w:val="28"/>
          <w:szCs w:val="28"/>
        </w:rPr>
      </w:pPr>
      <w:r>
        <w:rPr>
          <w:rFonts w:hint="eastAsia" w:ascii="宋体" w:hAnsi="宋体"/>
          <w:b/>
          <w:bCs/>
          <w:sz w:val="28"/>
          <w:szCs w:val="28"/>
          <w:lang w:eastAsia="zh-CN"/>
        </w:rPr>
        <w:t>项目编号：MWZX2023-022</w:t>
      </w:r>
    </w:p>
    <w:p>
      <w:pPr>
        <w:pStyle w:val="6"/>
        <w:rPr>
          <w:rFonts w:ascii="宋体" w:hAnsi="宋体"/>
          <w:sz w:val="28"/>
          <w:szCs w:val="28"/>
        </w:rPr>
      </w:pPr>
    </w:p>
    <w:p>
      <w:pPr>
        <w:pStyle w:val="6"/>
      </w:pPr>
    </w:p>
    <w:p>
      <w:pPr>
        <w:jc w:val="left"/>
        <w:rPr>
          <w:rFonts w:hint="default" w:ascii="宋体" w:hAnsi="宋体" w:eastAsia="宋体"/>
          <w:b/>
          <w:bCs/>
          <w:sz w:val="28"/>
          <w:szCs w:val="28"/>
          <w:lang w:val="en-US" w:eastAsia="zh-CN"/>
        </w:rPr>
      </w:pPr>
      <w:r>
        <w:rPr>
          <w:rFonts w:hint="eastAsia" w:ascii="宋体" w:hAnsi="宋体"/>
          <w:sz w:val="28"/>
          <w:szCs w:val="28"/>
        </w:rPr>
        <w:t xml:space="preserve">          </w:t>
      </w:r>
    </w:p>
    <w:p>
      <w:pPr>
        <w:ind w:firstLine="1405" w:firstLineChars="500"/>
        <w:jc w:val="left"/>
        <w:rPr>
          <w:rFonts w:hint="eastAsia" w:ascii="宋体" w:hAnsi="宋体" w:cs="黑体"/>
          <w:b/>
          <w:bCs/>
          <w:sz w:val="28"/>
          <w:szCs w:val="28"/>
          <w14:shadow w14:blurRad="50800" w14:dist="38100" w14:dir="2700000" w14:sx="100000" w14:sy="100000" w14:kx="0" w14:ky="0" w14:algn="tl">
            <w14:srgbClr w14:val="000000">
              <w14:alpha w14:val="60000"/>
            </w14:srgbClr>
          </w14:shadow>
        </w:rPr>
      </w:pPr>
    </w:p>
    <w:p>
      <w:pPr>
        <w:ind w:firstLine="1405" w:firstLineChars="500"/>
        <w:jc w:val="left"/>
        <w:rPr>
          <w:rFonts w:hint="eastAsia" w:ascii="宋体" w:hAnsi="宋体" w:cs="黑体"/>
          <w:b/>
          <w:bCs/>
          <w:sz w:val="28"/>
          <w:szCs w:val="28"/>
          <w14:shadow w14:blurRad="50800" w14:dist="38100" w14:dir="2700000" w14:sx="100000" w14:sy="100000" w14:kx="0" w14:ky="0" w14:algn="tl">
            <w14:srgbClr w14:val="000000">
              <w14:alpha w14:val="60000"/>
            </w14:srgbClr>
          </w14:shadow>
        </w:rPr>
      </w:pPr>
    </w:p>
    <w:p>
      <w:pPr>
        <w:ind w:firstLine="1405" w:firstLineChars="500"/>
        <w:jc w:val="left"/>
        <w:rPr>
          <w:rFonts w:hint="eastAsia" w:ascii="宋体" w:hAnsi="宋体" w:cs="黑体"/>
          <w:b/>
          <w:bCs/>
          <w:sz w:val="28"/>
          <w:szCs w:val="28"/>
          <w14:shadow w14:blurRad="50800" w14:dist="38100" w14:dir="2700000" w14:sx="100000" w14:sy="100000" w14:kx="0" w14:ky="0" w14:algn="tl">
            <w14:srgbClr w14:val="000000">
              <w14:alpha w14:val="60000"/>
            </w14:srgbClr>
          </w14:shadow>
        </w:rPr>
      </w:pPr>
    </w:p>
    <w:p>
      <w:pPr>
        <w:ind w:firstLine="1405" w:firstLineChars="500"/>
        <w:jc w:val="left"/>
        <w:rPr>
          <w:rFonts w:hint="eastAsia" w:ascii="宋体" w:hAnsi="宋体" w:eastAsia="宋体" w:cs="黑体"/>
          <w:b/>
          <w:bCs/>
          <w:sz w:val="28"/>
          <w:szCs w:val="28"/>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28"/>
          <w:szCs w:val="28"/>
          <w14:shadow w14:blurRad="50800" w14:dist="38100" w14:dir="2700000" w14:sx="100000" w14:sy="100000" w14:kx="0" w14:ky="0" w14:algn="tl">
            <w14:srgbClr w14:val="000000">
              <w14:alpha w14:val="60000"/>
            </w14:srgbClr>
          </w14:shadow>
        </w:rPr>
        <w:t>采购单位：</w:t>
      </w:r>
      <w:r>
        <w:rPr>
          <w:rFonts w:hint="eastAsia" w:ascii="宋体" w:hAnsi="宋体" w:cs="黑体"/>
          <w:b/>
          <w:bCs/>
          <w:sz w:val="28"/>
          <w:szCs w:val="28"/>
          <w:lang w:eastAsia="zh-CN"/>
          <w14:shadow w14:blurRad="50800" w14:dist="38100" w14:dir="2700000" w14:sx="100000" w14:sy="100000" w14:kx="0" w14:ky="0" w14:algn="tl">
            <w14:srgbClr w14:val="000000">
              <w14:alpha w14:val="60000"/>
            </w14:srgbClr>
          </w14:shadow>
        </w:rPr>
        <w:t>仙桃市自然资源和规划局</w:t>
      </w:r>
    </w:p>
    <w:p>
      <w:pPr>
        <w:pStyle w:val="21"/>
        <w:ind w:firstLine="562"/>
        <w:rPr>
          <w:rFonts w:hint="eastAsia" w:ascii="宋体" w:hAnsi="宋体" w:eastAsia="宋体"/>
          <w:b/>
          <w:bCs/>
          <w:sz w:val="28"/>
          <w:szCs w:val="28"/>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28"/>
          <w:szCs w:val="28"/>
        </w:rPr>
        <w:t xml:space="preserve">      </w:t>
      </w:r>
      <w:r>
        <w:rPr>
          <w:rFonts w:hint="eastAsia" w:ascii="宋体" w:hAnsi="宋体"/>
          <w:b/>
          <w:bCs/>
          <w:sz w:val="28"/>
          <w:szCs w:val="28"/>
          <w14:shadow w14:blurRad="50800" w14:dist="38100" w14:dir="2700000" w14:sx="100000" w14:sy="100000" w14:kx="0" w14:ky="0" w14:algn="tl">
            <w14:srgbClr w14:val="000000">
              <w14:alpha w14:val="60000"/>
            </w14:srgbClr>
          </w14:shadow>
        </w:rPr>
        <w:t>代理机构：</w:t>
      </w:r>
      <w:r>
        <w:rPr>
          <w:rFonts w:hint="eastAsia" w:ascii="宋体" w:hAnsi="宋体"/>
          <w:b/>
          <w:bCs/>
          <w:sz w:val="28"/>
          <w:szCs w:val="28"/>
          <w:lang w:eastAsia="zh-CN"/>
          <w14:shadow w14:blurRad="50800" w14:dist="38100" w14:dir="2700000" w14:sx="100000" w14:sy="100000" w14:kx="0" w14:ky="0" w14:algn="tl">
            <w14:srgbClr w14:val="000000">
              <w14:alpha w14:val="60000"/>
            </w14:srgbClr>
          </w14:shadow>
        </w:rPr>
        <w:t>名旺工程咨询（湖北）有限公司</w:t>
      </w:r>
    </w:p>
    <w:p>
      <w:pPr>
        <w:jc w:val="center"/>
        <w:rPr>
          <w:rFonts w:hint="eastAsia" w:ascii="宋体" w:hAnsi="宋体"/>
          <w:b/>
          <w:bCs/>
          <w:sz w:val="28"/>
          <w:szCs w:val="28"/>
          <w14:shadow w14:blurRad="50800" w14:dist="38100" w14:dir="2700000" w14:sx="100000" w14:sy="100000" w14:kx="0" w14:ky="0" w14:algn="tl">
            <w14:srgbClr w14:val="000000">
              <w14:alpha w14:val="60000"/>
            </w14:srgbClr>
          </w14:shadow>
        </w:rPr>
      </w:pP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14:shadow w14:blurRad="50800" w14:dist="38100" w14:dir="2700000" w14:sx="100000" w14:sy="100000" w14:kx="0" w14:ky="0" w14:algn="tl">
            <w14:srgbClr w14:val="000000">
              <w14:alpha w14:val="60000"/>
            </w14:srgbClr>
          </w14:shadow>
        </w:rPr>
        <w:t>年</w:t>
      </w: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11</w:t>
      </w:r>
      <w:r>
        <w:rPr>
          <w:rFonts w:hint="eastAsia" w:ascii="宋体" w:hAnsi="宋体"/>
          <w:b/>
          <w:bCs/>
          <w:sz w:val="28"/>
          <w:szCs w:val="28"/>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rPr>
        <w:sectPr>
          <w:headerReference r:id="rId4"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0" w:beforeLines="0" w:after="0" w:afterLines="0" w:line="240" w:lineRule="auto"/>
        <w:ind w:left="0" w:leftChars="0" w:right="0" w:rightChars="0" w:firstLine="0" w:firstLineChars="0"/>
        <w:jc w:val="center"/>
        <w:rPr>
          <w:rFonts w:hint="eastAsia" w:ascii="Times New Roman" w:hAnsi="Times New Roman" w:eastAsia="宋体" w:cs="Times New Roman"/>
          <w:b/>
          <w:bCs/>
          <w:kern w:val="0"/>
          <w:sz w:val="28"/>
          <w:szCs w:val="28"/>
          <w:lang w:val="en-US" w:eastAsia="zh-CN" w:bidi="ar-SA"/>
        </w:rPr>
      </w:pPr>
      <w:bookmarkStart w:id="0" w:name="_Toc14378_WPSOffice_Type2"/>
      <w:r>
        <w:rPr>
          <w:rFonts w:hint="eastAsia" w:ascii="Times New Roman" w:hAnsi="Times New Roman" w:eastAsia="宋体" w:cs="Times New Roman"/>
          <w:b/>
          <w:bCs/>
          <w:kern w:val="0"/>
          <w:sz w:val="28"/>
          <w:szCs w:val="28"/>
          <w:lang w:val="en-US" w:eastAsia="zh-CN" w:bidi="ar-SA"/>
        </w:rPr>
        <w:t>目录</w:t>
      </w:r>
    </w:p>
    <w:p>
      <w:pPr>
        <w:pStyle w:val="21"/>
        <w:ind w:left="0" w:leftChars="0" w:firstLine="0" w:firstLineChars="0"/>
        <w:rPr>
          <w:rFonts w:hint="eastAsia" w:ascii="Times New Roman" w:hAnsi="Times New Roman" w:eastAsia="宋体" w:cs="Times New Roman"/>
          <w:b/>
          <w:bCs/>
          <w:kern w:val="0"/>
          <w:sz w:val="28"/>
          <w:szCs w:val="28"/>
          <w:lang w:val="en-US" w:eastAsia="zh-CN" w:bidi="ar-SA"/>
        </w:rPr>
      </w:pPr>
    </w:p>
    <w:p>
      <w:pPr>
        <w:pStyle w:val="23"/>
        <w:keepNext w:val="0"/>
        <w:keepLines w:val="0"/>
        <w:pageBreakBefore w:val="0"/>
        <w:tabs>
          <w:tab w:val="right" w:leader="dot" w:pos="8312"/>
        </w:tabs>
        <w:kinsoku/>
        <w:wordWrap/>
        <w:overflowPunct/>
        <w:topLinePunct w:val="0"/>
        <w:autoSpaceDE/>
        <w:autoSpaceDN/>
        <w:bidi w:val="0"/>
        <w:adjustRightInd/>
        <w:snapToGrid/>
        <w:spacing w:line="480" w:lineRule="auto"/>
        <w:textAlignment w:val="auto"/>
        <w:rPr>
          <w:sz w:val="28"/>
          <w:szCs w:val="28"/>
        </w:rPr>
      </w:pPr>
      <w:r>
        <w:rPr>
          <w:b/>
          <w:bCs/>
          <w:sz w:val="28"/>
          <w:szCs w:val="28"/>
        </w:rPr>
        <w:fldChar w:fldCharType="begin"/>
      </w:r>
      <w:r>
        <w:rPr>
          <w:sz w:val="28"/>
          <w:szCs w:val="28"/>
        </w:rPr>
        <w:instrText xml:space="preserve"> HYPERLINK \l _Toc32092_WPSOffice_Level1 </w:instrText>
      </w:r>
      <w:r>
        <w:rPr>
          <w:b/>
          <w:bCs/>
          <w:sz w:val="28"/>
          <w:szCs w:val="28"/>
        </w:rPr>
        <w:fldChar w:fldCharType="separate"/>
      </w:r>
      <w:r>
        <w:rPr>
          <w:rFonts w:hint="eastAsia" w:ascii="宋体" w:hAnsi="宋体" w:cs="宋体"/>
          <w:b/>
          <w:bCs/>
          <w:sz w:val="28"/>
          <w:szCs w:val="28"/>
        </w:rPr>
        <w:t xml:space="preserve">第一章 </w:t>
      </w:r>
      <w:r>
        <w:rPr>
          <w:rFonts w:hint="eastAsia" w:ascii="宋体" w:hAnsi="宋体" w:cs="宋体"/>
          <w:b/>
          <w:bCs/>
          <w:sz w:val="28"/>
          <w:szCs w:val="28"/>
          <w:lang w:val="en-US" w:eastAsia="zh-CN"/>
        </w:rPr>
        <w:t xml:space="preserve"> </w:t>
      </w:r>
      <w:r>
        <w:rPr>
          <w:rFonts w:hint="eastAsia" w:ascii="Times New Roman" w:hAnsi="Times New Roman" w:eastAsia="宋体" w:cs="Times New Roman"/>
          <w:b/>
          <w:bCs/>
          <w:sz w:val="28"/>
          <w:szCs w:val="28"/>
        </w:rPr>
        <w:t>询价采购</w:t>
      </w:r>
      <w:r>
        <w:rPr>
          <w:rFonts w:hint="eastAsia" w:ascii="Times New Roman" w:hAnsi="Times New Roman" w:eastAsia="宋体" w:cs="Times New Roman"/>
          <w:b/>
          <w:bCs/>
          <w:sz w:val="28"/>
          <w:szCs w:val="28"/>
          <w:lang w:val="en-US" w:eastAsia="zh-CN"/>
        </w:rPr>
        <w:t>公告</w:t>
      </w:r>
      <w:r>
        <w:rPr>
          <w:b/>
          <w:bCs/>
          <w:sz w:val="28"/>
          <w:szCs w:val="28"/>
        </w:rPr>
        <w:tab/>
      </w:r>
      <w:r>
        <w:rPr>
          <w:rFonts w:hint="eastAsia"/>
          <w:b/>
          <w:bCs/>
          <w:sz w:val="28"/>
          <w:szCs w:val="28"/>
          <w:lang w:val="en-US" w:eastAsia="zh-CN"/>
        </w:rPr>
        <w:t>2</w:t>
      </w:r>
      <w:r>
        <w:rPr>
          <w:b/>
          <w:bCs/>
          <w:sz w:val="28"/>
          <w:szCs w:val="28"/>
        </w:rPr>
        <w:fldChar w:fldCharType="end"/>
      </w:r>
    </w:p>
    <w:p>
      <w:pPr>
        <w:pStyle w:val="23"/>
        <w:keepNext w:val="0"/>
        <w:keepLines w:val="0"/>
        <w:pageBreakBefore w:val="0"/>
        <w:tabs>
          <w:tab w:val="right" w:leader="dot" w:pos="8312"/>
        </w:tabs>
        <w:kinsoku/>
        <w:wordWrap/>
        <w:overflowPunct/>
        <w:topLinePunct w:val="0"/>
        <w:autoSpaceDE/>
        <w:autoSpaceDN/>
        <w:bidi w:val="0"/>
        <w:adjustRightInd/>
        <w:snapToGrid/>
        <w:spacing w:line="480" w:lineRule="auto"/>
        <w:textAlignment w:val="auto"/>
        <w:rPr>
          <w:sz w:val="28"/>
          <w:szCs w:val="28"/>
        </w:rPr>
      </w:pPr>
      <w:r>
        <w:rPr>
          <w:b/>
          <w:bCs/>
          <w:sz w:val="28"/>
          <w:szCs w:val="28"/>
        </w:rPr>
        <w:fldChar w:fldCharType="begin"/>
      </w:r>
      <w:r>
        <w:rPr>
          <w:sz w:val="28"/>
          <w:szCs w:val="28"/>
        </w:rPr>
        <w:instrText xml:space="preserve"> HYPERLINK \l _Toc9396_WPSOffice_Level1 </w:instrText>
      </w:r>
      <w:r>
        <w:rPr>
          <w:b/>
          <w:bCs/>
          <w:sz w:val="28"/>
          <w:szCs w:val="28"/>
        </w:rPr>
        <w:fldChar w:fldCharType="separate"/>
      </w:r>
      <w:r>
        <w:rPr>
          <w:rFonts w:hint="eastAsia" w:ascii="宋体" w:hAnsi="宋体"/>
          <w:b/>
          <w:bCs/>
          <w:sz w:val="28"/>
          <w:szCs w:val="28"/>
        </w:rPr>
        <w:t>第二章  询价采购须知</w:t>
      </w:r>
      <w:r>
        <w:rPr>
          <w:b/>
          <w:bCs/>
          <w:sz w:val="28"/>
          <w:szCs w:val="28"/>
        </w:rPr>
        <w:tab/>
      </w:r>
      <w:r>
        <w:rPr>
          <w:rFonts w:hint="eastAsia"/>
          <w:b/>
          <w:bCs/>
          <w:sz w:val="28"/>
          <w:szCs w:val="28"/>
          <w:lang w:val="en-US" w:eastAsia="zh-CN"/>
        </w:rPr>
        <w:t>6</w:t>
      </w:r>
      <w:r>
        <w:rPr>
          <w:b/>
          <w:bCs/>
          <w:sz w:val="28"/>
          <w:szCs w:val="28"/>
        </w:rPr>
        <w:fldChar w:fldCharType="end"/>
      </w:r>
    </w:p>
    <w:p>
      <w:pPr>
        <w:pStyle w:val="23"/>
        <w:keepNext w:val="0"/>
        <w:keepLines w:val="0"/>
        <w:pageBreakBefore w:val="0"/>
        <w:tabs>
          <w:tab w:val="right" w:leader="dot" w:pos="8312"/>
        </w:tabs>
        <w:kinsoku/>
        <w:wordWrap/>
        <w:overflowPunct/>
        <w:topLinePunct w:val="0"/>
        <w:autoSpaceDE/>
        <w:autoSpaceDN/>
        <w:bidi w:val="0"/>
        <w:adjustRightInd/>
        <w:snapToGrid/>
        <w:spacing w:line="480" w:lineRule="auto"/>
        <w:textAlignment w:val="auto"/>
        <w:rPr>
          <w:rFonts w:hint="default" w:eastAsia="宋体"/>
          <w:sz w:val="28"/>
          <w:szCs w:val="28"/>
          <w:lang w:val="en-US" w:eastAsia="zh-CN"/>
        </w:rPr>
      </w:pPr>
      <w:r>
        <w:rPr>
          <w:b/>
          <w:bCs/>
          <w:sz w:val="28"/>
          <w:szCs w:val="28"/>
        </w:rPr>
        <w:fldChar w:fldCharType="begin"/>
      </w:r>
      <w:r>
        <w:rPr>
          <w:sz w:val="28"/>
          <w:szCs w:val="28"/>
        </w:rPr>
        <w:instrText xml:space="preserve"> HYPERLINK \l _Toc25345_WPSOffice_Level1 </w:instrText>
      </w:r>
      <w:r>
        <w:rPr>
          <w:b/>
          <w:bCs/>
          <w:sz w:val="28"/>
          <w:szCs w:val="28"/>
        </w:rPr>
        <w:fldChar w:fldCharType="separate"/>
      </w:r>
      <w:r>
        <w:rPr>
          <w:rFonts w:hint="eastAsia" w:ascii="宋体" w:hAnsi="宋体" w:cs="宋体"/>
          <w:b/>
          <w:bCs/>
          <w:sz w:val="28"/>
          <w:szCs w:val="28"/>
        </w:rPr>
        <w:t>第三章  采购内容及技术要求</w:t>
      </w:r>
      <w:r>
        <w:rPr>
          <w:b/>
          <w:bCs/>
          <w:sz w:val="28"/>
          <w:szCs w:val="28"/>
        </w:rPr>
        <w:tab/>
      </w:r>
      <w:r>
        <w:rPr>
          <w:b/>
          <w:bCs/>
          <w:sz w:val="28"/>
          <w:szCs w:val="28"/>
        </w:rPr>
        <w:fldChar w:fldCharType="end"/>
      </w:r>
      <w:r>
        <w:rPr>
          <w:rFonts w:hint="eastAsia"/>
          <w:b/>
          <w:bCs/>
          <w:sz w:val="28"/>
          <w:szCs w:val="28"/>
          <w:lang w:val="en-US" w:eastAsia="zh-CN"/>
        </w:rPr>
        <w:t>20</w:t>
      </w:r>
    </w:p>
    <w:p>
      <w:pPr>
        <w:pStyle w:val="23"/>
        <w:keepNext w:val="0"/>
        <w:keepLines w:val="0"/>
        <w:pageBreakBefore w:val="0"/>
        <w:tabs>
          <w:tab w:val="right" w:leader="dot" w:pos="8312"/>
        </w:tabs>
        <w:kinsoku/>
        <w:wordWrap/>
        <w:overflowPunct/>
        <w:topLinePunct w:val="0"/>
        <w:autoSpaceDE/>
        <w:autoSpaceDN/>
        <w:bidi w:val="0"/>
        <w:adjustRightInd/>
        <w:snapToGrid/>
        <w:spacing w:line="480" w:lineRule="auto"/>
        <w:textAlignment w:val="auto"/>
        <w:rPr>
          <w:rFonts w:hint="default" w:eastAsia="宋体"/>
          <w:sz w:val="28"/>
          <w:szCs w:val="28"/>
          <w:lang w:val="en-US" w:eastAsia="zh-CN"/>
        </w:rPr>
      </w:pPr>
      <w:r>
        <w:rPr>
          <w:b/>
          <w:bCs/>
          <w:sz w:val="28"/>
          <w:szCs w:val="28"/>
        </w:rPr>
        <w:fldChar w:fldCharType="begin"/>
      </w:r>
      <w:r>
        <w:rPr>
          <w:sz w:val="28"/>
          <w:szCs w:val="28"/>
        </w:rPr>
        <w:instrText xml:space="preserve"> HYPERLINK \l _Toc17645_WPSOffice_Level1 </w:instrText>
      </w:r>
      <w:r>
        <w:rPr>
          <w:b/>
          <w:bCs/>
          <w:sz w:val="28"/>
          <w:szCs w:val="28"/>
        </w:rPr>
        <w:fldChar w:fldCharType="separate"/>
      </w:r>
      <w:r>
        <w:rPr>
          <w:rFonts w:hint="eastAsia" w:ascii="宋体" w:hAnsi="宋体" w:cs="宋体"/>
          <w:b/>
          <w:bCs/>
          <w:sz w:val="28"/>
          <w:szCs w:val="28"/>
        </w:rPr>
        <w:t>第四章  合同书（参考格式）</w:t>
      </w:r>
      <w:r>
        <w:rPr>
          <w:b/>
          <w:bCs/>
          <w:sz w:val="28"/>
          <w:szCs w:val="28"/>
        </w:rPr>
        <w:tab/>
      </w:r>
      <w:r>
        <w:rPr>
          <w:b/>
          <w:bCs/>
          <w:sz w:val="28"/>
          <w:szCs w:val="28"/>
        </w:rPr>
        <w:fldChar w:fldCharType="end"/>
      </w:r>
      <w:r>
        <w:rPr>
          <w:rFonts w:hint="eastAsia"/>
          <w:b/>
          <w:bCs/>
          <w:sz w:val="28"/>
          <w:szCs w:val="28"/>
          <w:lang w:val="en-US" w:eastAsia="zh-CN"/>
        </w:rPr>
        <w:t>31</w:t>
      </w:r>
    </w:p>
    <w:p>
      <w:pPr>
        <w:pStyle w:val="23"/>
        <w:keepNext w:val="0"/>
        <w:keepLines w:val="0"/>
        <w:pageBreakBefore w:val="0"/>
        <w:tabs>
          <w:tab w:val="right" w:leader="dot" w:pos="8312"/>
        </w:tabs>
        <w:kinsoku/>
        <w:wordWrap/>
        <w:overflowPunct/>
        <w:topLinePunct w:val="0"/>
        <w:autoSpaceDE/>
        <w:autoSpaceDN/>
        <w:bidi w:val="0"/>
        <w:adjustRightInd/>
        <w:snapToGrid/>
        <w:spacing w:line="480" w:lineRule="auto"/>
        <w:textAlignment w:val="auto"/>
        <w:rPr>
          <w:rFonts w:hint="default" w:eastAsia="宋体"/>
          <w:sz w:val="28"/>
          <w:szCs w:val="28"/>
          <w:lang w:val="en-US" w:eastAsia="zh-CN"/>
        </w:rPr>
      </w:pPr>
      <w:r>
        <w:rPr>
          <w:b/>
          <w:bCs/>
          <w:sz w:val="28"/>
          <w:szCs w:val="28"/>
        </w:rPr>
        <w:fldChar w:fldCharType="begin"/>
      </w:r>
      <w:r>
        <w:rPr>
          <w:sz w:val="28"/>
          <w:szCs w:val="28"/>
        </w:rPr>
        <w:instrText xml:space="preserve"> HYPERLINK \l _Toc20746_WPSOffice_Level1 </w:instrText>
      </w:r>
      <w:r>
        <w:rPr>
          <w:b/>
          <w:bCs/>
          <w:sz w:val="28"/>
          <w:szCs w:val="28"/>
        </w:rPr>
        <w:fldChar w:fldCharType="separate"/>
      </w:r>
      <w:r>
        <w:rPr>
          <w:rFonts w:hint="eastAsia"/>
          <w:b/>
          <w:bCs/>
          <w:sz w:val="28"/>
          <w:szCs w:val="28"/>
        </w:rPr>
        <w:t>第五章  响应文件格式（参考）</w:t>
      </w:r>
      <w:r>
        <w:rPr>
          <w:b/>
          <w:bCs/>
          <w:sz w:val="28"/>
          <w:szCs w:val="28"/>
        </w:rPr>
        <w:tab/>
      </w:r>
      <w:r>
        <w:rPr>
          <w:b/>
          <w:bCs/>
          <w:sz w:val="28"/>
          <w:szCs w:val="28"/>
        </w:rPr>
        <w:fldChar w:fldCharType="end"/>
      </w:r>
      <w:r>
        <w:rPr>
          <w:rFonts w:hint="eastAsia"/>
          <w:b/>
          <w:bCs/>
          <w:sz w:val="28"/>
          <w:szCs w:val="28"/>
          <w:lang w:val="en-US" w:eastAsia="zh-CN"/>
        </w:rPr>
        <w:t>33</w:t>
      </w:r>
    </w:p>
    <w:bookmarkEnd w:id="0"/>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sz w:val="28"/>
          <w:szCs w:val="28"/>
        </w:rPr>
      </w:pPr>
    </w:p>
    <w:p>
      <w:pPr>
        <w:pStyle w:val="21"/>
        <w:ind w:firstLine="560"/>
        <w:rPr>
          <w:rFonts w:hint="eastAsia" w:ascii="宋体" w:hAnsi="宋体" w:cs="宋体"/>
          <w:sz w:val="28"/>
          <w:szCs w:val="28"/>
        </w:rPr>
      </w:pPr>
    </w:p>
    <w:p>
      <w:pPr>
        <w:spacing w:line="560" w:lineRule="exact"/>
        <w:rPr>
          <w:rFonts w:hint="eastAsia" w:ascii="宋体" w:hAnsi="宋体" w:cs="宋体"/>
          <w:b/>
          <w:bCs/>
          <w:sz w:val="36"/>
          <w:szCs w:val="36"/>
        </w:rPr>
      </w:pPr>
    </w:p>
    <w:p>
      <w:pPr>
        <w:spacing w:line="560" w:lineRule="exact"/>
        <w:rPr>
          <w:rFonts w:hint="eastAsia" w:ascii="宋体" w:hAnsi="宋体" w:cs="宋体"/>
          <w:b/>
          <w:bCs/>
          <w:sz w:val="36"/>
          <w:szCs w:val="36"/>
        </w:rPr>
      </w:pPr>
    </w:p>
    <w:p>
      <w:pPr>
        <w:spacing w:line="560" w:lineRule="exact"/>
        <w:jc w:val="center"/>
        <w:rPr>
          <w:rFonts w:hint="eastAsia" w:ascii="宋体" w:hAnsi="宋体" w:cs="宋体"/>
          <w:b/>
          <w:bCs/>
          <w:sz w:val="44"/>
          <w:szCs w:val="44"/>
        </w:rPr>
      </w:pPr>
      <w:bookmarkStart w:id="1" w:name="_Toc32092_WPSOffice_Level1"/>
    </w:p>
    <w:p>
      <w:pPr>
        <w:pStyle w:val="21"/>
        <w:rPr>
          <w:rFonts w:hint="eastAsia"/>
        </w:rPr>
      </w:pPr>
    </w:p>
    <w:p>
      <w:pPr>
        <w:spacing w:line="560" w:lineRule="exact"/>
        <w:jc w:val="center"/>
        <w:rPr>
          <w:rFonts w:ascii="宋体" w:hAnsi="宋体" w:cs="宋体"/>
          <w:kern w:val="0"/>
          <w:sz w:val="32"/>
          <w:szCs w:val="32"/>
        </w:rPr>
      </w:pPr>
      <w:r>
        <w:rPr>
          <w:rFonts w:hint="eastAsia" w:ascii="宋体" w:hAnsi="宋体" w:cs="宋体"/>
          <w:b/>
          <w:bCs/>
          <w:sz w:val="44"/>
          <w:szCs w:val="44"/>
        </w:rPr>
        <w:br w:type="page"/>
      </w:r>
      <w:bookmarkEnd w:id="1"/>
      <w:r>
        <w:rPr>
          <w:rFonts w:hint="eastAsia" w:ascii="宋体" w:hAnsi="宋体" w:cs="宋体"/>
          <w:b/>
          <w:bCs/>
          <w:sz w:val="32"/>
          <w:szCs w:val="32"/>
        </w:rPr>
        <w:t>第一章</w:t>
      </w:r>
      <w:r>
        <w:rPr>
          <w:rFonts w:hint="eastAsia" w:ascii="宋体" w:hAnsi="宋体" w:cs="宋体"/>
          <w:b/>
          <w:bCs/>
          <w:sz w:val="44"/>
          <w:szCs w:val="44"/>
        </w:rPr>
        <w:t xml:space="preserve"> </w:t>
      </w:r>
      <w:r>
        <w:rPr>
          <w:rFonts w:hint="eastAsia" w:ascii="宋体" w:hAnsi="宋体" w:cs="宋体"/>
          <w:b/>
          <w:bCs/>
          <w:sz w:val="32"/>
          <w:szCs w:val="32"/>
          <w:lang w:val="en-US" w:eastAsia="zh-CN"/>
        </w:rPr>
        <w:t>询价采购</w:t>
      </w:r>
      <w:r>
        <w:rPr>
          <w:rFonts w:hint="eastAsia" w:ascii="宋体" w:hAnsi="宋体" w:cs="宋体"/>
          <w:b/>
          <w:bCs/>
          <w:sz w:val="32"/>
          <w:szCs w:val="32"/>
        </w:rPr>
        <w:t>公告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Lines="50" w:afterAutospacing="0" w:line="440" w:lineRule="exact"/>
        <w:ind w:left="0" w:right="0"/>
        <w:jc w:val="center"/>
        <w:textAlignment w:val="auto"/>
        <w:rPr>
          <w:rFonts w:hint="eastAsia" w:ascii="宋体" w:hAnsi="宋体" w:eastAsia="宋体" w:cs="宋体"/>
          <w:b/>
          <w:bCs/>
          <w:kern w:val="0"/>
          <w:sz w:val="30"/>
          <w:szCs w:val="30"/>
        </w:rPr>
      </w:pPr>
      <w:r>
        <w:rPr>
          <w:rFonts w:hint="eastAsia" w:cs="宋体"/>
          <w:b/>
          <w:bCs/>
          <w:kern w:val="0"/>
          <w:sz w:val="30"/>
          <w:szCs w:val="30"/>
          <w:lang w:val="en-US" w:eastAsia="zh-CN" w:bidi="ar"/>
        </w:rPr>
        <w:t>仙桃市耕地资源质量分类2022年度更新与监测服务</w:t>
      </w:r>
      <w:r>
        <w:rPr>
          <w:rFonts w:hint="eastAsia" w:ascii="宋体" w:hAnsi="宋体" w:eastAsia="宋体" w:cs="宋体"/>
          <w:b/>
          <w:bCs/>
          <w:kern w:val="0"/>
          <w:sz w:val="30"/>
          <w:szCs w:val="30"/>
          <w:lang w:val="en-US" w:eastAsia="zh-CN" w:bidi="ar"/>
        </w:rPr>
        <w:t>询价公告</w:t>
      </w:r>
    </w:p>
    <w:p>
      <w:pPr>
        <w:keepNext w:val="0"/>
        <w:keepLines w:val="0"/>
        <w:widowControl w:val="0"/>
        <w:suppressLineNumbers w:val="0"/>
        <w:pBdr>
          <w:top w:val="single" w:color="auto" w:sz="4" w:space="1"/>
          <w:left w:val="single" w:color="auto" w:sz="4" w:space="4"/>
          <w:bottom w:val="single" w:color="auto" w:sz="4" w:space="1"/>
          <w:right w:val="single" w:color="auto" w:sz="4" w:space="4"/>
        </w:pBdr>
        <w:autoSpaceDE w:val="0"/>
        <w:autoSpaceDN w:val="0"/>
        <w:spacing w:before="0" w:beforeAutospacing="0" w:after="0" w:afterAutospacing="0" w:line="360" w:lineRule="auto"/>
        <w:ind w:left="0" w:right="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项目概况</w:t>
      </w:r>
    </w:p>
    <w:p>
      <w:pPr>
        <w:keepNext w:val="0"/>
        <w:keepLines w:val="0"/>
        <w:widowControl w:val="0"/>
        <w:suppressLineNumbers w:val="0"/>
        <w:pBdr>
          <w:top w:val="single" w:color="auto" w:sz="4" w:space="1"/>
          <w:left w:val="single" w:color="auto" w:sz="4" w:space="4"/>
          <w:bottom w:val="single" w:color="auto" w:sz="4" w:space="1"/>
          <w:right w:val="single" w:color="auto" w:sz="4" w:space="4"/>
        </w:pBdr>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cs="宋体"/>
          <w:kern w:val="0"/>
          <w:sz w:val="24"/>
          <w:szCs w:val="24"/>
          <w:u w:val="single"/>
          <w:lang w:val="en-US" w:eastAsia="zh-CN" w:bidi="ar"/>
        </w:rPr>
        <w:t>仙桃市耕地资源质量分类2022年度更新与监测服务</w:t>
      </w:r>
      <w:r>
        <w:rPr>
          <w:rFonts w:hint="eastAsia" w:ascii="宋体" w:hAnsi="宋体" w:eastAsia="宋体" w:cs="宋体"/>
          <w:kern w:val="0"/>
          <w:sz w:val="24"/>
          <w:szCs w:val="24"/>
          <w:lang w:val="en-US" w:eastAsia="zh-CN" w:bidi="ar"/>
        </w:rPr>
        <w:t>项目的潜在供应商应在</w:t>
      </w:r>
      <w:r>
        <w:rPr>
          <w:rFonts w:hint="eastAsia" w:cs="宋体"/>
          <w:kern w:val="0"/>
          <w:sz w:val="24"/>
          <w:szCs w:val="24"/>
          <w:u w:val="single"/>
          <w:lang w:val="en-US" w:eastAsia="zh-CN" w:bidi="ar"/>
        </w:rPr>
        <w:t>名旺工程咨询（湖北）有限公司</w:t>
      </w:r>
      <w:r>
        <w:rPr>
          <w:rFonts w:hint="eastAsia" w:ascii="宋体" w:hAnsi="宋体" w:eastAsia="宋体" w:cs="宋体"/>
          <w:kern w:val="0"/>
          <w:sz w:val="24"/>
          <w:szCs w:val="24"/>
          <w:u w:val="single"/>
          <w:lang w:val="en-US" w:eastAsia="zh-CN" w:bidi="ar"/>
        </w:rPr>
        <w:t>（</w:t>
      </w:r>
      <w:r>
        <w:rPr>
          <w:rFonts w:hint="eastAsia" w:cs="宋体"/>
          <w:kern w:val="0"/>
          <w:sz w:val="24"/>
          <w:szCs w:val="24"/>
          <w:u w:val="single"/>
          <w:lang w:val="en-US" w:eastAsia="zh-CN" w:bidi="ar"/>
        </w:rPr>
        <w:t>仙桃市宏达路141号东荆河管理分局五楼504室</w:t>
      </w:r>
      <w:r>
        <w:rPr>
          <w:rFonts w:hint="eastAsia" w:ascii="宋体" w:hAnsi="宋体" w:eastAsia="宋体" w:cs="宋体"/>
          <w:kern w:val="0"/>
          <w:sz w:val="24"/>
          <w:szCs w:val="24"/>
          <w:u w:val="single"/>
          <w:lang w:val="en-US" w:eastAsia="zh-CN" w:bidi="ar"/>
        </w:rPr>
        <w:t>）</w:t>
      </w:r>
      <w:r>
        <w:rPr>
          <w:rFonts w:hint="eastAsia" w:ascii="宋体" w:hAnsi="宋体" w:eastAsia="宋体" w:cs="宋体"/>
          <w:kern w:val="0"/>
          <w:sz w:val="24"/>
          <w:szCs w:val="24"/>
          <w:lang w:val="en-US" w:eastAsia="zh-CN" w:bidi="ar"/>
        </w:rPr>
        <w:t>获取采购文件，并于</w:t>
      </w:r>
      <w:r>
        <w:rPr>
          <w:rFonts w:hint="eastAsia" w:ascii="宋体" w:hAnsi="宋体" w:eastAsia="宋体" w:cs="宋体"/>
          <w:kern w:val="0"/>
          <w:sz w:val="24"/>
          <w:szCs w:val="24"/>
          <w:u w:val="single"/>
          <w:lang w:val="en-US" w:eastAsia="zh-CN" w:bidi="ar"/>
        </w:rPr>
        <w:t>202</w:t>
      </w:r>
      <w:r>
        <w:rPr>
          <w:rFonts w:hint="eastAsia" w:ascii="宋体" w:hAnsi="宋体" w:cs="宋体"/>
          <w:kern w:val="0"/>
          <w:sz w:val="24"/>
          <w:szCs w:val="24"/>
          <w:u w:val="single"/>
          <w:lang w:val="en-US" w:eastAsia="zh-CN" w:bidi="ar"/>
        </w:rPr>
        <w:t>3</w:t>
      </w:r>
      <w:r>
        <w:rPr>
          <w:rFonts w:hint="eastAsia" w:ascii="宋体" w:hAnsi="宋体" w:eastAsia="宋体" w:cs="宋体"/>
          <w:kern w:val="0"/>
          <w:sz w:val="24"/>
          <w:szCs w:val="24"/>
          <w:u w:val="single"/>
          <w:lang w:val="en-US" w:eastAsia="zh-CN" w:bidi="ar"/>
        </w:rPr>
        <w:t>年</w:t>
      </w:r>
      <w:r>
        <w:rPr>
          <w:rFonts w:hint="eastAsia" w:ascii="宋体" w:hAnsi="宋体" w:cs="宋体"/>
          <w:kern w:val="0"/>
          <w:sz w:val="24"/>
          <w:szCs w:val="24"/>
          <w:u w:val="single"/>
          <w:lang w:val="en-US" w:eastAsia="zh-CN" w:bidi="ar"/>
        </w:rPr>
        <w:t>11</w:t>
      </w:r>
      <w:r>
        <w:rPr>
          <w:rFonts w:hint="eastAsia" w:ascii="宋体" w:hAnsi="宋体" w:eastAsia="宋体" w:cs="宋体"/>
          <w:kern w:val="0"/>
          <w:sz w:val="24"/>
          <w:szCs w:val="24"/>
          <w:u w:val="single"/>
          <w:lang w:val="en-US" w:eastAsia="zh-CN" w:bidi="ar"/>
        </w:rPr>
        <w:t>月</w:t>
      </w:r>
      <w:r>
        <w:rPr>
          <w:rFonts w:hint="eastAsia" w:ascii="宋体" w:hAnsi="宋体" w:cs="宋体"/>
          <w:kern w:val="0"/>
          <w:sz w:val="24"/>
          <w:szCs w:val="24"/>
          <w:u w:val="single"/>
          <w:lang w:val="en-US" w:eastAsia="zh-CN" w:bidi="ar"/>
        </w:rPr>
        <w:t>9</w:t>
      </w:r>
      <w:r>
        <w:rPr>
          <w:rFonts w:hint="eastAsia" w:ascii="宋体" w:hAnsi="宋体" w:eastAsia="宋体" w:cs="宋体"/>
          <w:kern w:val="0"/>
          <w:sz w:val="24"/>
          <w:szCs w:val="24"/>
          <w:u w:val="single"/>
          <w:lang w:val="en-US" w:eastAsia="zh-CN" w:bidi="ar"/>
        </w:rPr>
        <w:t>日</w:t>
      </w:r>
      <w:r>
        <w:rPr>
          <w:rFonts w:hint="eastAsia" w:cs="宋体"/>
          <w:kern w:val="0"/>
          <w:sz w:val="24"/>
          <w:szCs w:val="24"/>
          <w:u w:val="single"/>
          <w:lang w:val="en-US" w:eastAsia="zh-CN" w:bidi="ar"/>
        </w:rPr>
        <w:t>11</w:t>
      </w:r>
      <w:r>
        <w:rPr>
          <w:rFonts w:hint="eastAsia" w:ascii="宋体" w:hAnsi="宋体" w:eastAsia="宋体" w:cs="宋体"/>
          <w:kern w:val="0"/>
          <w:sz w:val="24"/>
          <w:szCs w:val="24"/>
          <w:u w:val="single"/>
          <w:lang w:val="en-US" w:eastAsia="zh-CN" w:bidi="ar"/>
        </w:rPr>
        <w:t>点00分</w:t>
      </w:r>
      <w:r>
        <w:rPr>
          <w:rFonts w:hint="eastAsia" w:ascii="宋体" w:hAnsi="宋体" w:eastAsia="宋体" w:cs="宋体"/>
          <w:kern w:val="0"/>
          <w:sz w:val="24"/>
          <w:szCs w:val="24"/>
          <w:lang w:val="en-US" w:eastAsia="zh-CN" w:bidi="ar"/>
        </w:rPr>
        <w:t>（北京时间）前提交响应文件。</w:t>
      </w:r>
    </w:p>
    <w:p>
      <w:pPr>
        <w:pStyle w:val="5"/>
        <w:widowControl/>
        <w:spacing w:beforeLines="10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MWZX2023-022</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仙桃市耕地资源质量分类2022年度更新与监测服务</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4、采购方式：询价采购</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宋体"/>
          <w:kern w:val="0"/>
          <w:sz w:val="24"/>
          <w:szCs w:val="24"/>
          <w:lang w:val="en-US" w:eastAsia="zh-CN" w:bidi="ar"/>
        </w:rPr>
        <w:t>24万元</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宋体"/>
          <w:kern w:val="0"/>
          <w:sz w:val="24"/>
          <w:szCs w:val="24"/>
          <w:lang w:val="en-US" w:eastAsia="zh-CN" w:bidi="ar"/>
        </w:rPr>
        <w:t>24万元</w:t>
      </w:r>
      <w:r>
        <w:rPr>
          <w:rFonts w:hint="eastAsia" w:ascii="宋体" w:hAnsi="宋体" w:eastAsia="宋体" w:cs="宋体"/>
          <w:kern w:val="0"/>
          <w:sz w:val="24"/>
          <w:szCs w:val="24"/>
          <w:lang w:val="en-US" w:eastAsia="zh-CN" w:bidi="ar"/>
        </w:rPr>
        <w:t>（超过采购最高限价为无效报价）</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仙桃市耕地资源质量分类2022年度更新与监测</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8、合同履行期限</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合同签订后60日历天完成相应成果报告</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9、本项目接受联合体</w:t>
      </w: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②</w:t>
      </w:r>
      <w:r>
        <w:rPr>
          <w:rFonts w:hint="eastAsia" w:ascii="宋体" w:hAnsi="宋体" w:eastAsia="宋体" w:cs="宋体"/>
          <w:color w:val="auto"/>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③</w:t>
      </w:r>
      <w:r>
        <w:rPr>
          <w:rFonts w:hint="eastAsia" w:ascii="宋体" w:hAnsi="宋体" w:cs="宋体"/>
          <w:color w:val="auto"/>
          <w:kern w:val="0"/>
          <w:sz w:val="24"/>
          <w:szCs w:val="24"/>
          <w:lang w:val="en-US" w:eastAsia="zh-CN" w:bidi="ar"/>
        </w:rPr>
        <w:t>本项目</w:t>
      </w:r>
      <w:r>
        <w:rPr>
          <w:rFonts w:hint="eastAsia" w:ascii="宋体" w:hAnsi="宋体" w:eastAsia="宋体" w:cs="宋体"/>
          <w:color w:val="auto"/>
          <w:kern w:val="0"/>
          <w:sz w:val="24"/>
          <w:szCs w:val="24"/>
          <w:lang w:val="en-US" w:eastAsia="zh-CN" w:bidi="ar"/>
        </w:rPr>
        <w:t>专门面向中小企业、监狱企业、残疾人福利企业，供应商需提供中小微企业声明函；</w:t>
      </w:r>
    </w:p>
    <w:p>
      <w:pPr>
        <w:keepNext w:val="0"/>
        <w:keepLines w:val="0"/>
        <w:pageBreakBefore w:val="0"/>
        <w:kinsoku/>
        <w:wordWrap/>
        <w:overflowPunct/>
        <w:autoSpaceDE w:val="0"/>
        <w:autoSpaceDN w:val="0"/>
        <w:bidi w:val="0"/>
        <w:adjustRightInd/>
        <w:snapToGrid/>
        <w:spacing w:line="420" w:lineRule="exact"/>
        <w:ind w:firstLine="480" w:firstLineChars="200"/>
        <w:textAlignment w:val="auto"/>
        <w:rPr>
          <w:rFonts w:hint="default" w:ascii="宋体" w:hAnsi="宋体" w:cs="宋体"/>
          <w:color w:val="auto"/>
          <w:kern w:val="0"/>
          <w:sz w:val="24"/>
          <w:szCs w:val="24"/>
          <w:highlight w:val="none"/>
          <w:lang w:val="en-US" w:eastAsia="zh-CN" w:bidi="ar"/>
        </w:rPr>
      </w:pPr>
      <w:r>
        <w:rPr>
          <w:rFonts w:hint="eastAsia" w:ascii="宋体" w:hAnsi="宋体" w:eastAsia="宋体" w:cs="宋体"/>
          <w:kern w:val="0"/>
          <w:sz w:val="24"/>
          <w:szCs w:val="24"/>
          <w:lang w:val="en-US" w:eastAsia="zh-CN" w:bidi="ar"/>
        </w:rPr>
        <w:t>6、本项目的特定资格要求</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供应商须具备行政主管部门颁发的土地规划乙级及以上资质。</w:t>
      </w: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1、时间：202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日至202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en-US" w:eastAsia="zh-CN" w:bidi="ar"/>
        </w:rPr>
        <w:t>日，每天上午0</w:t>
      </w:r>
      <w:r>
        <w:rPr>
          <w:rFonts w:hint="eastAsia" w:cs="宋体"/>
          <w:kern w:val="0"/>
          <w:sz w:val="24"/>
          <w:szCs w:val="24"/>
          <w:lang w:val="en-US" w:eastAsia="zh-CN" w:bidi="ar"/>
        </w:rPr>
        <w:t>8</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3</w:t>
      </w:r>
      <w:r>
        <w:rPr>
          <w:rFonts w:hint="eastAsia" w:ascii="宋体" w:hAnsi="宋体" w:eastAsia="宋体" w:cs="宋体"/>
          <w:kern w:val="0"/>
          <w:sz w:val="24"/>
          <w:szCs w:val="24"/>
          <w:lang w:val="en-US" w:eastAsia="zh-CN" w:bidi="ar"/>
        </w:rPr>
        <w:t>0至12：00，下午14：30至17：30（北京时间，法定节假日除外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3、方式：</w:t>
      </w:r>
    </w:p>
    <w:p>
      <w:pPr>
        <w:keepNext w:val="0"/>
        <w:keepLines w:val="0"/>
        <w:widowControl w:val="0"/>
        <w:suppressLineNumbers w:val="0"/>
        <w:autoSpaceDE w:val="0"/>
        <w:autoSpaceDN w:val="0"/>
        <w:spacing w:before="0" w:beforeAutospacing="0" w:after="0" w:afterAutospacing="0" w:line="360" w:lineRule="auto"/>
        <w:ind w:left="0" w:leftChars="0" w:right="0" w:firstLine="480" w:firstLineChars="200"/>
        <w:jc w:val="both"/>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供应商携带以下资料现场购买采购文件：</w:t>
      </w:r>
    </w:p>
    <w:p>
      <w:pPr>
        <w:keepNext w:val="0"/>
        <w:keepLines w:val="0"/>
        <w:widowControl w:val="0"/>
        <w:numPr>
          <w:ilvl w:val="0"/>
          <w:numId w:val="1"/>
        </w:numPr>
        <w:suppressLineNumbers w:val="0"/>
        <w:autoSpaceDE w:val="0"/>
        <w:autoSpaceDN w:val="0"/>
        <w:spacing w:before="0" w:beforeAutospacing="0" w:after="0" w:afterAutospacing="0" w:line="360" w:lineRule="auto"/>
        <w:ind w:left="0" w:leftChars="0" w:right="0" w:firstLine="480" w:firstLineChars="200"/>
        <w:jc w:val="both"/>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法定代表人自己领取的，凭法定代表人身份证明书原件及法定代表人身份证原件获取；</w:t>
      </w:r>
    </w:p>
    <w:p>
      <w:pPr>
        <w:keepNext w:val="0"/>
        <w:keepLines w:val="0"/>
        <w:widowControl w:val="0"/>
        <w:numPr>
          <w:ilvl w:val="0"/>
          <w:numId w:val="1"/>
        </w:numPr>
        <w:suppressLineNumbers w:val="0"/>
        <w:autoSpaceDE w:val="0"/>
        <w:autoSpaceDN w:val="0"/>
        <w:spacing w:before="0" w:beforeAutospacing="0" w:after="0" w:afterAutospacing="0" w:line="360" w:lineRule="auto"/>
        <w:ind w:left="0" w:leftChars="0" w:right="0" w:firstLine="480" w:firstLineChars="200"/>
        <w:jc w:val="both"/>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法定代表人授权委托他人领取的，凭法定代表人授权书原件及被授权人身份证原件获取；</w:t>
      </w:r>
    </w:p>
    <w:p>
      <w:pPr>
        <w:keepNext w:val="0"/>
        <w:keepLines w:val="0"/>
        <w:widowControl w:val="0"/>
        <w:numPr>
          <w:ilvl w:val="0"/>
          <w:numId w:val="1"/>
        </w:numPr>
        <w:suppressLineNumbers w:val="0"/>
        <w:autoSpaceDE w:val="0"/>
        <w:autoSpaceDN w:val="0"/>
        <w:spacing w:before="0" w:beforeAutospacing="0" w:after="0" w:afterAutospacing="0" w:line="360" w:lineRule="auto"/>
        <w:ind w:left="0" w:leftChars="0" w:right="0" w:firstLine="480" w:firstLineChars="200"/>
        <w:jc w:val="both"/>
        <w:rPr>
          <w:rFonts w:hint="eastAsia" w:ascii="宋体" w:hAnsi="宋体" w:eastAsia="宋体" w:cs="宋体"/>
          <w:kern w:val="0"/>
          <w:sz w:val="22"/>
          <w:szCs w:val="22"/>
        </w:rPr>
      </w:pPr>
      <w:r>
        <w:rPr>
          <w:rFonts w:hint="eastAsia" w:ascii="宋体" w:hAnsi="宋体" w:eastAsia="宋体" w:cs="宋体"/>
          <w:i w:val="0"/>
          <w:iCs w:val="0"/>
          <w:kern w:val="0"/>
          <w:sz w:val="24"/>
          <w:szCs w:val="24"/>
          <w:lang w:val="en-US" w:eastAsia="zh-CN" w:bidi="ar"/>
        </w:rPr>
        <w:t xml:space="preserve">政府采购登记表及其他相关资料（见附件）。 </w:t>
      </w: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1、开始时间：202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9</w:t>
      </w:r>
      <w:r>
        <w:rPr>
          <w:rFonts w:hint="eastAsia" w:ascii="宋体" w:hAnsi="宋体" w:eastAsia="宋体" w:cs="宋体"/>
          <w:kern w:val="0"/>
          <w:sz w:val="24"/>
          <w:szCs w:val="24"/>
          <w:u w:val="none"/>
          <w:lang w:val="en-US" w:eastAsia="zh-CN" w:bidi="ar"/>
        </w:rPr>
        <w:t>日</w:t>
      </w:r>
      <w:r>
        <w:rPr>
          <w:rFonts w:hint="eastAsia" w:cs="宋体"/>
          <w:kern w:val="0"/>
          <w:sz w:val="24"/>
          <w:szCs w:val="24"/>
          <w:u w:val="none"/>
          <w:lang w:val="en-US" w:eastAsia="zh-CN" w:bidi="ar"/>
        </w:rPr>
        <w:t>10</w:t>
      </w:r>
      <w:r>
        <w:rPr>
          <w:rFonts w:hint="eastAsia" w:ascii="宋体" w:hAnsi="宋体" w:eastAsia="宋体" w:cs="宋体"/>
          <w:kern w:val="0"/>
          <w:sz w:val="24"/>
          <w:szCs w:val="24"/>
          <w:u w:val="none"/>
          <w:lang w:val="en-US" w:eastAsia="zh-CN" w:bidi="ar"/>
        </w:rPr>
        <w:t>点30分（北京时间）</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lang w:val="en-US" w:eastAsia="zh-CN" w:bidi="ar"/>
        </w:rPr>
        <w:t>202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9</w:t>
      </w:r>
      <w:r>
        <w:rPr>
          <w:rFonts w:hint="eastAsia" w:ascii="宋体" w:hAnsi="宋体" w:eastAsia="宋体" w:cs="宋体"/>
          <w:kern w:val="0"/>
          <w:sz w:val="24"/>
          <w:szCs w:val="24"/>
          <w:u w:val="none"/>
          <w:lang w:val="en-US" w:eastAsia="zh-CN" w:bidi="ar"/>
        </w:rPr>
        <w:t>日</w:t>
      </w:r>
      <w:r>
        <w:rPr>
          <w:rFonts w:hint="eastAsia" w:cs="宋体"/>
          <w:kern w:val="0"/>
          <w:sz w:val="24"/>
          <w:szCs w:val="24"/>
          <w:u w:val="none"/>
          <w:lang w:val="en-US" w:eastAsia="zh-CN" w:bidi="ar"/>
        </w:rPr>
        <w:t>11</w:t>
      </w:r>
      <w:r>
        <w:rPr>
          <w:rFonts w:hint="eastAsia" w:ascii="宋体" w:hAnsi="宋体" w:eastAsia="宋体" w:cs="宋体"/>
          <w:kern w:val="0"/>
          <w:sz w:val="24"/>
          <w:szCs w:val="24"/>
          <w:u w:val="none"/>
          <w:lang w:val="en-US" w:eastAsia="zh-CN" w:bidi="ar"/>
        </w:rPr>
        <w:t>点00分</w:t>
      </w:r>
      <w:r>
        <w:rPr>
          <w:rFonts w:hint="eastAsia" w:ascii="宋体" w:hAnsi="宋体" w:eastAsia="宋体" w:cs="宋体"/>
          <w:kern w:val="0"/>
          <w:sz w:val="24"/>
          <w:szCs w:val="24"/>
          <w:lang w:val="en-US" w:eastAsia="zh-CN" w:bidi="ar"/>
        </w:rPr>
        <w:t>（北京时间）</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3、地点：名旺工程咨询（湖北）有限公司（仙桃市宏达路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1、时间：202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9</w:t>
      </w:r>
      <w:r>
        <w:rPr>
          <w:rFonts w:hint="eastAsia" w:ascii="宋体" w:hAnsi="宋体" w:eastAsia="宋体" w:cs="宋体"/>
          <w:kern w:val="0"/>
          <w:sz w:val="24"/>
          <w:szCs w:val="24"/>
          <w:u w:val="none"/>
          <w:lang w:val="en-US" w:eastAsia="zh-CN" w:bidi="ar"/>
        </w:rPr>
        <w:t>日</w:t>
      </w:r>
      <w:r>
        <w:rPr>
          <w:rFonts w:hint="eastAsia" w:cs="宋体"/>
          <w:kern w:val="0"/>
          <w:sz w:val="24"/>
          <w:szCs w:val="24"/>
          <w:u w:val="none"/>
          <w:lang w:val="en-US" w:eastAsia="zh-CN" w:bidi="ar"/>
        </w:rPr>
        <w:t>11</w:t>
      </w:r>
      <w:r>
        <w:rPr>
          <w:rFonts w:hint="eastAsia" w:ascii="宋体" w:hAnsi="宋体" w:eastAsia="宋体" w:cs="宋体"/>
          <w:kern w:val="0"/>
          <w:sz w:val="24"/>
          <w:szCs w:val="24"/>
          <w:u w:val="none"/>
          <w:lang w:val="en-US" w:eastAsia="zh-CN" w:bidi="ar"/>
        </w:rPr>
        <w:t>点00分</w:t>
      </w:r>
      <w:r>
        <w:rPr>
          <w:rFonts w:hint="eastAsia" w:ascii="宋体" w:hAnsi="宋体" w:eastAsia="宋体" w:cs="宋体"/>
          <w:kern w:val="0"/>
          <w:sz w:val="24"/>
          <w:szCs w:val="24"/>
          <w:lang w:val="en-US" w:eastAsia="zh-CN" w:bidi="ar"/>
        </w:rPr>
        <w:t>（北京时间）</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5"/>
        <w:widowControl/>
        <w:numPr>
          <w:ilvl w:val="0"/>
          <w:numId w:val="2"/>
        </w:numPr>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3、采购代理机构在本次采购活动中免收投标保证金、履约保证金、采购文件的工本费、报名费。</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 </w:t>
      </w:r>
    </w:p>
    <w:p>
      <w:pPr>
        <w:pStyle w:val="2"/>
        <w:rPr>
          <w:rFonts w:hint="eastAsia"/>
          <w:lang w:val="en-US" w:eastAsia="zh-CN"/>
        </w:rPr>
      </w:pPr>
    </w:p>
    <w:p>
      <w:pPr>
        <w:pStyle w:val="5"/>
        <w:widowControl/>
        <w:spacing w:beforeLines="50" w:beforeAutospacing="0" w:line="360" w:lineRule="auto"/>
        <w:ind w:left="0" w:firstLine="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仙桃市自然资源和规划局</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 xml:space="preserve">仙桃市  </w:t>
      </w:r>
      <w:r>
        <w:rPr>
          <w:rFonts w:hint="eastAsia" w:ascii="宋体" w:hAnsi="宋体" w:eastAsia="宋体" w:cs="宋体"/>
          <w:kern w:val="0"/>
          <w:sz w:val="24"/>
          <w:szCs w:val="24"/>
          <w:lang w:val="en-US" w:eastAsia="zh-CN" w:bidi="ar"/>
        </w:rPr>
        <w:t xml:space="preserve">       </w:t>
      </w:r>
    </w:p>
    <w:p>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联系方式：</w:t>
      </w:r>
      <w:r>
        <w:rPr>
          <w:rFonts w:hint="eastAsia" w:ascii="宋体" w:hAnsi="宋体" w:cs="宋体"/>
          <w:color w:val="auto"/>
          <w:kern w:val="0"/>
          <w:sz w:val="24"/>
          <w:szCs w:val="24"/>
          <w:lang w:val="en-US" w:eastAsia="zh-CN" w:bidi="ar"/>
        </w:rPr>
        <w:t xml:space="preserve">13451150606 </w:t>
      </w:r>
      <w:r>
        <w:rPr>
          <w:rFonts w:hint="eastAsia" w:ascii="宋体" w:hAnsi="宋体" w:eastAsia="宋体" w:cs="宋体"/>
          <w:color w:val="auto"/>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lang w:val="en-US" w:eastAsia="zh-CN" w:bidi="ar"/>
        </w:rPr>
      </w:pP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cs="宋体"/>
          <w:kern w:val="0"/>
          <w:sz w:val="24"/>
          <w:szCs w:val="24"/>
          <w:lang w:val="en-US" w:eastAsia="zh-CN" w:bidi="ar"/>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 xml:space="preserve">15807225157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电   话：</w:t>
      </w:r>
      <w:r>
        <w:rPr>
          <w:rFonts w:hint="eastAsia" w:ascii="宋体" w:hAnsi="宋体" w:cs="宋体"/>
          <w:kern w:val="0"/>
          <w:sz w:val="24"/>
          <w:szCs w:val="24"/>
          <w:lang w:val="en-US" w:eastAsia="zh-CN" w:bidi="ar"/>
        </w:rPr>
        <w:t>15807225157</w:t>
      </w:r>
      <w:r>
        <w:rPr>
          <w:rFonts w:hint="eastAsia" w:ascii="宋体" w:hAnsi="宋体" w:eastAsia="宋体" w:cs="宋体"/>
          <w:kern w:val="0"/>
          <w:sz w:val="24"/>
          <w:szCs w:val="24"/>
          <w:lang w:val="en-US" w:eastAsia="zh-CN" w:bidi="ar"/>
        </w:rPr>
        <w:t xml:space="preserve">      </w:t>
      </w:r>
    </w:p>
    <w:p>
      <w:pPr>
        <w:keepNext w:val="0"/>
        <w:keepLines w:val="0"/>
        <w:pageBreakBefore w:val="0"/>
        <w:kinsoku/>
        <w:wordWrap/>
        <w:overflowPunct/>
        <w:topLinePunct/>
        <w:bidi w:val="0"/>
        <w:adjustRightInd/>
        <w:snapToGrid/>
        <w:spacing w:line="440" w:lineRule="exact"/>
        <w:ind w:firstLine="4760" w:firstLineChars="1700"/>
        <w:textAlignment w:val="auto"/>
        <w:rPr>
          <w:rFonts w:hint="eastAsia" w:ascii="宋体" w:hAnsi="宋体"/>
          <w:sz w:val="28"/>
          <w:szCs w:val="28"/>
        </w:rPr>
      </w:pPr>
    </w:p>
    <w:p>
      <w:pPr>
        <w:topLinePunct/>
        <w:spacing w:line="520" w:lineRule="exact"/>
        <w:jc w:val="center"/>
        <w:rPr>
          <w:rFonts w:hint="eastAsia" w:ascii="宋体" w:hAnsi="宋体"/>
          <w:b/>
          <w:bCs/>
          <w:sz w:val="44"/>
          <w:szCs w:val="44"/>
        </w:rPr>
      </w:pPr>
      <w:bookmarkStart w:id="2" w:name="_Toc9396_WPSOffice_Level1"/>
      <w:r>
        <w:rPr>
          <w:rFonts w:hint="eastAsia" w:ascii="宋体" w:hAnsi="宋体"/>
          <w:b/>
          <w:bCs/>
          <w:sz w:val="44"/>
          <w:szCs w:val="44"/>
        </w:rPr>
        <w:br w:type="page"/>
      </w:r>
      <w:r>
        <w:rPr>
          <w:rFonts w:hint="eastAsia" w:ascii="宋体" w:hAnsi="宋体"/>
          <w:b/>
          <w:bCs/>
          <w:sz w:val="32"/>
          <w:szCs w:val="32"/>
        </w:rPr>
        <w:t>第二章  询价采购须知</w:t>
      </w:r>
      <w:bookmarkEnd w:id="2"/>
    </w:p>
    <w:p>
      <w:pPr>
        <w:pStyle w:val="25"/>
        <w:spacing w:line="240" w:lineRule="auto"/>
        <w:rPr>
          <w:rFonts w:hint="eastAsia" w:ascii="宋体" w:hAnsi="宋体"/>
          <w:b/>
          <w:sz w:val="21"/>
          <w:szCs w:val="21"/>
        </w:rPr>
      </w:pPr>
      <w:bookmarkStart w:id="3" w:name="_Toc144974496"/>
      <w:bookmarkStart w:id="4" w:name="_Toc152042304"/>
      <w:bookmarkStart w:id="5" w:name="_Toc152045528"/>
      <w:bookmarkStart w:id="6" w:name="_Toc179632545"/>
      <w:r>
        <w:rPr>
          <w:rFonts w:hint="eastAsia" w:ascii="宋体" w:hAnsi="宋体"/>
          <w:b/>
          <w:sz w:val="21"/>
          <w:szCs w:val="21"/>
        </w:rPr>
        <w:t>前附表</w:t>
      </w:r>
      <w:bookmarkEnd w:id="3"/>
      <w:bookmarkEnd w:id="4"/>
      <w:bookmarkEnd w:id="5"/>
      <w:bookmarkEnd w:id="6"/>
    </w:p>
    <w:tbl>
      <w:tblPr>
        <w:tblStyle w:val="14"/>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条  款  名  称</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编  列  内  容</w:t>
            </w:r>
          </w:p>
        </w:tc>
      </w:tr>
      <w:tr>
        <w:tblPrEx>
          <w:tblCellMar>
            <w:top w:w="0" w:type="dxa"/>
            <w:left w:w="108" w:type="dxa"/>
            <w:bottom w:w="0" w:type="dxa"/>
            <w:right w:w="108" w:type="dxa"/>
          </w:tblCellMar>
        </w:tblPrEx>
        <w:trPr>
          <w:trHeight w:val="384"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仙桃市自然资源和规划局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仙桃市耕地资源质量分类2022年度更新与监测服务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实施地点</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仙桃市</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资金来源</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财政资金</w:t>
            </w:r>
          </w:p>
        </w:tc>
      </w:tr>
      <w:tr>
        <w:tblPrEx>
          <w:tblCellMar>
            <w:top w:w="0" w:type="dxa"/>
            <w:left w:w="108" w:type="dxa"/>
            <w:bottom w:w="0" w:type="dxa"/>
            <w:right w:w="108" w:type="dxa"/>
          </w:tblCellMar>
        </w:tblPrEx>
        <w:trPr>
          <w:trHeight w:val="29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采购预算</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24万元。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资金落实情况</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详见询价文件第三章内容</w:t>
            </w:r>
          </w:p>
        </w:tc>
      </w:tr>
      <w:tr>
        <w:tblPrEx>
          <w:tblCellMar>
            <w:top w:w="0" w:type="dxa"/>
            <w:left w:w="108" w:type="dxa"/>
            <w:bottom w:w="0" w:type="dxa"/>
            <w:right w:w="108" w:type="dxa"/>
          </w:tblCellMar>
        </w:tblPrEx>
        <w:trPr>
          <w:trHeight w:val="10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auto"/>
                <w:szCs w:val="21"/>
                <w:lang w:val="en-US" w:eastAsia="zh-CN"/>
              </w:rPr>
              <w:t>服务工期</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仿宋_GB2312" w:hAnsi="仿宋_GB2312" w:eastAsia="仿宋_GB2312" w:cs="仿宋_GB2312"/>
                <w:color w:val="auto"/>
                <w:szCs w:val="21"/>
                <w:lang w:val="en-US"/>
              </w:rPr>
            </w:pPr>
            <w:r>
              <w:rPr>
                <w:rFonts w:hint="eastAsia" w:ascii="仿宋_GB2312" w:hAnsi="仿宋_GB2312" w:eastAsia="仿宋_GB2312" w:cs="仿宋_GB2312"/>
                <w:color w:val="auto"/>
                <w:kern w:val="0"/>
                <w:szCs w:val="21"/>
                <w:lang w:val="en-US" w:eastAsia="zh-CN"/>
              </w:rPr>
              <w:t>合同签订后60日历天完成相应成果报告</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质量要求</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采购人组织验收，达到</w:t>
            </w:r>
            <w:r>
              <w:rPr>
                <w:rFonts w:hint="eastAsia" w:ascii="仿宋_GB2312" w:hAnsi="仿宋_GB2312" w:eastAsia="仿宋_GB2312" w:cs="仿宋_GB2312"/>
                <w:color w:val="auto"/>
                <w:szCs w:val="21"/>
                <w:lang w:val="en-US" w:eastAsia="zh-CN"/>
              </w:rPr>
              <w:t>行业主管部门</w:t>
            </w:r>
            <w:r>
              <w:rPr>
                <w:rFonts w:hint="eastAsia" w:ascii="仿宋_GB2312" w:hAnsi="仿宋_GB2312" w:eastAsia="仿宋_GB2312" w:cs="仿宋_GB2312"/>
                <w:color w:val="auto"/>
                <w:szCs w:val="21"/>
              </w:rPr>
              <w:t>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供应商条件</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pStyle w:val="8"/>
              <w:topLinePunct/>
              <w:spacing w:line="360" w:lineRule="exact"/>
              <w:ind w:firstLine="210" w:firstLineChars="100"/>
              <w:rPr>
                <w:rFonts w:hint="eastAsia" w:ascii="仿宋_GB2312" w:hAnsi="仿宋_GB2312" w:eastAsia="宋体" w:cs="仿宋_GB2312"/>
                <w:sz w:val="21"/>
                <w:szCs w:val="21"/>
                <w:lang w:eastAsia="zh-CN"/>
              </w:rPr>
            </w:pPr>
            <w:r>
              <w:rPr>
                <w:rFonts w:hint="eastAsia" w:ascii="仿宋_GB2312" w:hAnsi="仿宋_GB2312" w:eastAsia="仿宋_GB2312" w:cs="仿宋_GB2312"/>
                <w:sz w:val="21"/>
                <w:szCs w:val="21"/>
                <w:lang w:val="en-US" w:eastAsia="zh-CN"/>
              </w:rPr>
              <w:t>否。</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是否接受联合体投标</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lang w:eastAsia="zh-CN"/>
              </w:rPr>
              <w:t>□</w:t>
            </w:r>
            <w:r>
              <w:rPr>
                <w:rFonts w:hint="eastAsia" w:ascii="仿宋_GB2312" w:hAnsi="仿宋_GB2312" w:eastAsia="仿宋_GB2312" w:cs="仿宋_GB2312"/>
                <w:b/>
              </w:rPr>
              <w:t>不接受</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接</w:t>
            </w:r>
            <w:r>
              <w:rPr>
                <w:rFonts w:hint="eastAsia" w:ascii="仿宋_GB2312" w:hAnsi="仿宋_GB2312" w:eastAsia="仿宋_GB2312" w:cs="仿宋_GB2312"/>
                <w:szCs w:val="21"/>
              </w:rPr>
              <w:t>受，应满足下列要求：</w:t>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szCs w:val="21"/>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踏勘现场</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rPr>
              <w:t>■</w:t>
            </w:r>
            <w:r>
              <w:rPr>
                <w:rFonts w:hint="eastAsia" w:ascii="仿宋_GB2312" w:hAnsi="仿宋_GB2312" w:eastAsia="仿宋_GB2312" w:cs="仿宋_GB2312"/>
                <w:b/>
              </w:rPr>
              <w:t>不组织，供应商自行踏勘;</w:t>
            </w:r>
          </w:p>
          <w:p>
            <w:pPr>
              <w:rPr>
                <w:rFonts w:hint="eastAsia" w:ascii="仿宋_GB2312" w:hAnsi="仿宋_GB2312" w:eastAsia="仿宋_GB2312" w:cs="仿宋_GB2312"/>
              </w:rPr>
            </w:pPr>
            <w:r>
              <w:rPr>
                <w:rFonts w:hint="eastAsia" w:ascii="仿宋_GB2312" w:hAnsi="仿宋_GB2312" w:eastAsia="仿宋_GB2312" w:cs="仿宋_GB2312"/>
                <w:szCs w:val="21"/>
              </w:rPr>
              <w:t>□</w:t>
            </w:r>
            <w:r>
              <w:rPr>
                <w:rFonts w:hint="eastAsia" w:ascii="仿宋_GB2312" w:hAnsi="仿宋_GB2312" w:eastAsia="仿宋_GB2312" w:cs="仿宋_GB2312"/>
              </w:rPr>
              <w:t>组织，踏勘时间：</w:t>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rPr>
              <w:t>时间</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2023年11月9日11:00时</w:t>
            </w:r>
            <w:r>
              <w:rPr>
                <w:rFonts w:hint="eastAsia" w:ascii="仿宋_GB2312" w:hAnsi="仿宋_GB2312" w:eastAsia="仿宋_GB2312" w:cs="仿宋_GB2312"/>
                <w:szCs w:val="21"/>
                <w:lang w:eastAsia="zh-CN"/>
              </w:rPr>
              <w:t>（</w:t>
            </w:r>
            <w:r>
              <w:rPr>
                <w:rFonts w:hint="eastAsia" w:ascii="仿宋_GB2312" w:hAnsi="仿宋_GB2312" w:eastAsia="仿宋_GB2312" w:cs="仿宋_GB2312"/>
                <w:kern w:val="0"/>
              </w:rPr>
              <w:t>北京时间，下同）</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地点：</w:t>
            </w:r>
            <w:r>
              <w:rPr>
                <w:rFonts w:hint="eastAsia" w:ascii="仿宋_GB2312" w:hAnsi="仿宋_GB2312" w:eastAsia="仿宋_GB2312" w:cs="仿宋_GB2312"/>
                <w:szCs w:val="21"/>
                <w:lang w:eastAsia="zh-CN"/>
              </w:rPr>
              <w:t>仙桃市宏达路141号东荆河管理分局五楼503室</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rPr>
            </w:pPr>
          </w:p>
          <w:p>
            <w:pPr>
              <w:pStyle w:val="6"/>
              <w:rPr>
                <w:rFonts w:ascii="仿宋_GB2312" w:hAnsi="仿宋_GB2312" w:eastAsia="仿宋_GB2312" w:cs="仿宋_GB2312"/>
              </w:rPr>
            </w:pPr>
            <w:r>
              <w:rPr>
                <w:rFonts w:ascii="仿宋_GB2312" w:hAnsi="仿宋_GB2312" w:eastAsia="仿宋_GB2312" w:cs="仿宋_GB2312"/>
                <w:b w:val="0"/>
                <w:bCs w:val="0"/>
                <w:kern w:val="2"/>
                <w:sz w:val="21"/>
                <w:szCs w:val="21"/>
              </w:rPr>
              <w:t>16</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rPr>
            </w:pPr>
          </w:p>
          <w:p>
            <w:pPr>
              <w:pStyle w:val="6"/>
              <w:jc w:val="center"/>
              <w:rPr>
                <w:rFonts w:ascii="仿宋_GB2312" w:hAnsi="仿宋_GB2312" w:eastAsia="仿宋_GB2312" w:cs="仿宋_GB2312"/>
              </w:rPr>
            </w:pPr>
            <w:r>
              <w:rPr>
                <w:rFonts w:ascii="仿宋_GB2312" w:hAnsi="仿宋_GB2312" w:eastAsia="仿宋_GB2312" w:cs="仿宋_GB2312"/>
                <w:b w:val="0"/>
                <w:bCs w:val="0"/>
                <w:kern w:val="2"/>
                <w:sz w:val="21"/>
                <w:szCs w:val="21"/>
              </w:rPr>
              <w:t>采购代理服务费</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根据采购人和采购代理机构签署的采购代理协议书约定：</w:t>
            </w:r>
          </w:p>
          <w:p>
            <w:pPr>
              <w:numPr>
                <w:ilvl w:val="0"/>
                <w:numId w:val="3"/>
              </w:num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r>
              <w:rPr>
                <w:rFonts w:hint="eastAsia" w:ascii="仿宋_GB2312" w:hAnsi="仿宋_GB2312" w:eastAsia="仿宋_GB2312" w:cs="仿宋_GB2312"/>
                <w:szCs w:val="21"/>
              </w:rPr>
              <w:t>■由</w:t>
            </w:r>
            <w:r>
              <w:rPr>
                <w:rFonts w:hint="eastAsia" w:ascii="仿宋_GB2312" w:hAnsi="仿宋_GB2312" w:eastAsia="仿宋_GB2312" w:cs="仿宋_GB2312"/>
                <w:kern w:val="0"/>
                <w:szCs w:val="21"/>
              </w:rPr>
              <w:t>成交供应商支付</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 xml:space="preserve">由采购人支付 </w:t>
            </w:r>
          </w:p>
          <w:p>
            <w:pPr>
              <w:numPr>
                <w:ilvl w:val="0"/>
                <w:numId w:val="3"/>
              </w:num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b/>
                <w:bCs/>
                <w:kern w:val="0"/>
                <w:szCs w:val="21"/>
              </w:rPr>
              <w:t>参照原国家计委计价格[2002]1980号和财库[2018]2号文件标准执行。</w:t>
            </w:r>
            <w:r>
              <w:rPr>
                <w:rFonts w:hint="eastAsia" w:ascii="仿宋_GB2312" w:hAnsi="仿宋_GB2312" w:eastAsia="仿宋_GB2312" w:cs="仿宋_GB2312"/>
              </w:rPr>
              <w:t>代理服务费按分段差额累积法计算：即100万以内按照1.</w:t>
            </w:r>
            <w:r>
              <w:rPr>
                <w:rFonts w:hint="eastAsia" w:ascii="仿宋_GB2312" w:hAnsi="仿宋_GB2312" w:eastAsia="仿宋_GB2312" w:cs="仿宋_GB2312"/>
                <w:lang w:val="en-US" w:eastAsia="zh-CN"/>
              </w:rPr>
              <w:t>5</w:t>
            </w:r>
            <w:r>
              <w:rPr>
                <w:rFonts w:hint="eastAsia" w:ascii="仿宋_GB2312" w:hAnsi="仿宋_GB2312" w:eastAsia="仿宋_GB2312" w:cs="仿宋_GB2312"/>
              </w:rPr>
              <w:t>%收取，101-500万的部分按照</w:t>
            </w:r>
            <w:r>
              <w:rPr>
                <w:rFonts w:hint="eastAsia" w:ascii="仿宋_GB2312" w:hAnsi="仿宋_GB2312" w:eastAsia="仿宋_GB2312" w:cs="仿宋_GB2312"/>
                <w:lang w:val="en-US" w:eastAsia="zh-CN"/>
              </w:rPr>
              <w:t>0.8</w:t>
            </w:r>
            <w:r>
              <w:rPr>
                <w:rFonts w:hint="eastAsia" w:ascii="仿宋_GB2312" w:hAnsi="仿宋_GB2312" w:eastAsia="仿宋_GB2312" w:cs="仿宋_GB2312"/>
              </w:rPr>
              <w:t>%收取。代理服务费不足</w:t>
            </w:r>
            <w:r>
              <w:rPr>
                <w:rFonts w:hint="eastAsia" w:ascii="仿宋_GB2312" w:hAnsi="仿宋_GB2312" w:eastAsia="仿宋_GB2312" w:cs="仿宋_GB2312"/>
                <w:lang w:val="en-US" w:eastAsia="zh-CN"/>
              </w:rPr>
              <w:t>4</w:t>
            </w:r>
            <w:r>
              <w:rPr>
                <w:rFonts w:hint="eastAsia" w:ascii="仿宋_GB2312" w:hAnsi="仿宋_GB2312" w:eastAsia="仿宋_GB2312" w:cs="仿宋_GB2312"/>
              </w:rPr>
              <w:t>000元，按</w:t>
            </w:r>
            <w:r>
              <w:rPr>
                <w:rFonts w:hint="eastAsia" w:ascii="仿宋_GB2312" w:hAnsi="仿宋_GB2312" w:eastAsia="仿宋_GB2312" w:cs="仿宋_GB2312"/>
                <w:lang w:val="en-US" w:eastAsia="zh-CN"/>
              </w:rPr>
              <w:t>4</w:t>
            </w:r>
            <w:r>
              <w:rPr>
                <w:rFonts w:hint="eastAsia" w:ascii="仿宋_GB2312" w:hAnsi="仿宋_GB2312" w:eastAsia="仿宋_GB2312" w:cs="仿宋_GB2312"/>
              </w:rPr>
              <w:t>000元收取。</w:t>
            </w:r>
          </w:p>
          <w:p>
            <w:pPr>
              <w:numPr>
                <w:ilvl w:val="0"/>
                <w:numId w:val="3"/>
              </w:num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支付时间：采购代理服务费在发放成交通知书的同时由成交供应商向代理机构支付。</w:t>
            </w:r>
          </w:p>
          <w:p>
            <w:pPr>
              <w:numPr>
                <w:ilvl w:val="0"/>
                <w:numId w:val="3"/>
              </w:num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支付方式：银行转账，现金支付。</w:t>
            </w:r>
          </w:p>
          <w:p>
            <w:pPr>
              <w:numPr>
                <w:ilvl w:val="0"/>
                <w:numId w:val="3"/>
              </w:num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银行账户信息：</w:t>
            </w:r>
            <w:r>
              <w:rPr>
                <w:rFonts w:hint="eastAsia" w:ascii="仿宋_GB2312" w:hAnsi="仿宋_GB2312" w:eastAsia="仿宋_GB2312" w:cs="仿宋_GB2312"/>
                <w:szCs w:val="21"/>
              </w:rPr>
              <w:t>行号：103537131286</w:t>
            </w:r>
          </w:p>
          <w:p>
            <w:pPr>
              <w:spacing w:line="360" w:lineRule="exac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 xml:space="preserve">   户  名：</w:t>
            </w:r>
            <w:r>
              <w:rPr>
                <w:rFonts w:hint="eastAsia" w:ascii="仿宋_GB2312" w:hAnsi="仿宋_GB2312" w:eastAsia="仿宋_GB2312" w:cs="仿宋_GB2312"/>
                <w:kern w:val="0"/>
                <w:szCs w:val="21"/>
                <w:lang w:eastAsia="zh-CN"/>
              </w:rPr>
              <w:t>名旺工程咨询（湖北）有限公司</w:t>
            </w:r>
          </w:p>
          <w:p>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开户行：农业银行仙桃开发区支行</w:t>
            </w:r>
          </w:p>
          <w:p>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账  号：17312801040005591</w:t>
            </w:r>
          </w:p>
          <w:p>
            <w:pPr>
              <w:numPr>
                <w:ilvl w:val="0"/>
                <w:numId w:val="3"/>
              </w:numPr>
              <w:spacing w:line="360" w:lineRule="exact"/>
              <w:rPr>
                <w:rFonts w:hint="eastAsia" w:ascii="仿宋_GB2312" w:hAnsi="仿宋_GB2312" w:eastAsia="仿宋_GB2312" w:cs="仿宋_GB2312"/>
                <w:szCs w:val="22"/>
              </w:rPr>
            </w:pPr>
            <w:r>
              <w:rPr>
                <w:rFonts w:hint="eastAsia" w:ascii="仿宋_GB2312" w:hAnsi="仿宋_GB2312" w:eastAsia="仿宋_GB2312" w:cs="仿宋_GB2312"/>
                <w:szCs w:val="22"/>
              </w:rPr>
              <w:t>其他事项：成交供应商在缴纳代理服务费的同时，须提供完整的开票信息：</w:t>
            </w:r>
          </w:p>
          <w:p>
            <w:pPr>
              <w:spacing w:line="360" w:lineRule="exact"/>
              <w:rPr>
                <w:rFonts w:hint="eastAsia" w:ascii="仿宋_GB2312" w:hAnsi="仿宋_GB2312" w:eastAsia="仿宋_GB2312" w:cs="仿宋_GB2312"/>
                <w:szCs w:val="22"/>
              </w:rPr>
            </w:pPr>
            <w:r>
              <w:rPr>
                <w:rFonts w:hint="eastAsia" w:ascii="仿宋_GB2312" w:hAnsi="仿宋_GB2312" w:eastAsia="仿宋_GB2312" w:cs="仿宋_GB2312"/>
                <w:szCs w:val="22"/>
              </w:rPr>
              <w:t>1、开票单位名称；</w:t>
            </w:r>
          </w:p>
          <w:p>
            <w:pPr>
              <w:spacing w:line="360" w:lineRule="exact"/>
              <w:rPr>
                <w:rFonts w:hint="eastAsia" w:ascii="仿宋_GB2312" w:hAnsi="仿宋_GB2312" w:eastAsia="仿宋_GB2312" w:cs="仿宋_GB2312"/>
                <w:szCs w:val="22"/>
              </w:rPr>
            </w:pPr>
            <w:r>
              <w:rPr>
                <w:rFonts w:hint="eastAsia" w:ascii="仿宋_GB2312" w:hAnsi="仿宋_GB2312" w:eastAsia="仿宋_GB2312" w:cs="仿宋_GB2312"/>
                <w:szCs w:val="22"/>
              </w:rPr>
              <w:t>2、纳税人识别号（或统一社会信用代码）；</w:t>
            </w:r>
          </w:p>
          <w:p>
            <w:pPr>
              <w:spacing w:line="360" w:lineRule="exact"/>
              <w:rPr>
                <w:rFonts w:hint="eastAsia" w:ascii="仿宋_GB2312" w:hAnsi="仿宋_GB2312" w:eastAsia="仿宋_GB2312" w:cs="仿宋_GB2312"/>
                <w:szCs w:val="22"/>
              </w:rPr>
            </w:pPr>
            <w:r>
              <w:rPr>
                <w:rFonts w:hint="eastAsia" w:ascii="仿宋_GB2312" w:hAnsi="仿宋_GB2312" w:eastAsia="仿宋_GB2312" w:cs="仿宋_GB2312"/>
                <w:szCs w:val="22"/>
              </w:rPr>
              <w:t>3、营业执照或税务登记证；</w:t>
            </w:r>
          </w:p>
          <w:p>
            <w:pPr>
              <w:spacing w:line="360" w:lineRule="exact"/>
              <w:rPr>
                <w:rFonts w:hint="eastAsia" w:ascii="仿宋_GB2312" w:hAnsi="仿宋_GB2312" w:eastAsia="仿宋_GB2312" w:cs="仿宋_GB2312"/>
                <w:szCs w:val="22"/>
              </w:rPr>
            </w:pPr>
            <w:r>
              <w:rPr>
                <w:rFonts w:hint="eastAsia" w:ascii="仿宋_GB2312" w:hAnsi="仿宋_GB2312" w:eastAsia="仿宋_GB2312" w:cs="仿宋_GB2312"/>
                <w:szCs w:val="22"/>
              </w:rPr>
              <w:t>4、单位联系电话及地址；</w:t>
            </w:r>
          </w:p>
          <w:p>
            <w:pPr>
              <w:spacing w:line="360" w:lineRule="exact"/>
              <w:rPr>
                <w:rFonts w:hint="eastAsia" w:ascii="仿宋_GB2312" w:hAnsi="仿宋_GB2312" w:eastAsia="仿宋_GB2312" w:cs="仿宋_GB2312"/>
                <w:kern w:val="0"/>
                <w:szCs w:val="21"/>
              </w:rPr>
            </w:pPr>
            <w:r>
              <w:rPr>
                <w:rFonts w:hint="eastAsia" w:ascii="仿宋_GB2312" w:hAnsi="仿宋_GB2312" w:eastAsia="仿宋_GB2312" w:cs="仿宋_GB2312"/>
                <w:szCs w:val="22"/>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投标保证金</w:t>
            </w:r>
          </w:p>
          <w:p>
            <w:pPr>
              <w:widowControl/>
              <w:spacing w:line="360" w:lineRule="exact"/>
              <w:jc w:val="center"/>
              <w:rPr>
                <w:rFonts w:hint="eastAsia" w:ascii="仿宋_GB2312" w:hAnsi="仿宋_GB2312" w:eastAsia="仿宋_GB2312" w:cs="仿宋_GB2312"/>
                <w:szCs w:val="21"/>
              </w:rPr>
            </w:pPr>
          </w:p>
        </w:tc>
        <w:tc>
          <w:tcPr>
            <w:tcW w:w="530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响应文件纸质版：正本</w:t>
            </w:r>
            <w:r>
              <w:rPr>
                <w:rFonts w:hint="eastAsia" w:ascii="仿宋_GB2312" w:hAnsi="仿宋_GB2312" w:eastAsia="仿宋_GB2312" w:cs="仿宋_GB2312"/>
                <w:u w:val="single"/>
              </w:rPr>
              <w:t xml:space="preserve"> 1</w:t>
            </w:r>
            <w:r>
              <w:rPr>
                <w:rFonts w:hint="eastAsia" w:ascii="仿宋_GB2312" w:hAnsi="仿宋_GB2312" w:eastAsia="仿宋_GB2312" w:cs="仿宋_GB2312"/>
              </w:rPr>
              <w:t>份，副本</w:t>
            </w:r>
            <w:r>
              <w:rPr>
                <w:rFonts w:hint="eastAsia" w:ascii="仿宋_GB2312" w:hAnsi="仿宋_GB2312" w:eastAsia="仿宋_GB2312" w:cs="仿宋_GB2312"/>
                <w:u w:val="single"/>
              </w:rPr>
              <w:t xml:space="preserve"> 2</w:t>
            </w:r>
            <w:r>
              <w:rPr>
                <w:rFonts w:hint="eastAsia" w:ascii="仿宋_GB2312" w:hAnsi="仿宋_GB2312" w:eastAsia="仿宋_GB2312" w:cs="仿宋_GB2312"/>
              </w:rPr>
              <w:t>份</w:t>
            </w:r>
          </w:p>
          <w:p>
            <w:pPr>
              <w:rPr>
                <w:rFonts w:hint="eastAsia" w:ascii="仿宋_GB2312" w:hAnsi="仿宋_GB2312" w:eastAsia="仿宋_GB2312" w:cs="仿宋_GB2312"/>
              </w:rPr>
            </w:pPr>
            <w:r>
              <w:rPr>
                <w:rFonts w:hint="eastAsia" w:ascii="仿宋_GB2312" w:hAnsi="仿宋_GB2312" w:eastAsia="仿宋_GB2312" w:cs="仿宋_GB2312"/>
              </w:rPr>
              <w:t>响应文件电子版：</w:t>
            </w:r>
          </w:p>
          <w:p>
            <w:pPr>
              <w:rPr>
                <w:rFonts w:hint="eastAsia" w:ascii="仿宋_GB2312" w:hAnsi="仿宋_GB2312" w:eastAsia="仿宋_GB2312" w:cs="仿宋_GB2312"/>
              </w:rPr>
            </w:pPr>
            <w:r>
              <w:rPr>
                <w:rFonts w:hint="eastAsia" w:ascii="仿宋_GB2312" w:hAnsi="仿宋_GB2312" w:eastAsia="仿宋_GB2312" w:cs="仿宋_GB2312"/>
                <w:szCs w:val="21"/>
                <w:lang w:eastAsia="zh-CN"/>
              </w:rPr>
              <w:t>□</w:t>
            </w:r>
            <w:r>
              <w:rPr>
                <w:rFonts w:hint="eastAsia" w:ascii="仿宋_GB2312" w:hAnsi="仿宋_GB2312" w:eastAsia="仿宋_GB2312" w:cs="仿宋_GB2312"/>
              </w:rPr>
              <w:t>不要求</w:t>
            </w:r>
          </w:p>
          <w:p>
            <w:pPr>
              <w:rPr>
                <w:rFonts w:hint="eastAsia" w:ascii="仿宋_GB2312" w:hAnsi="仿宋_GB2312" w:eastAsia="仿宋_GB2312" w:cs="仿宋_GB2312"/>
              </w:rPr>
            </w:pPr>
            <w:r>
              <w:rPr>
                <w:rFonts w:hint="eastAsia" w:ascii="仿宋_GB2312" w:hAnsi="仿宋_GB2312" w:eastAsia="仿宋_GB2312" w:cs="仿宋_GB2312"/>
                <w:szCs w:val="21"/>
              </w:rPr>
              <w:t>■</w:t>
            </w:r>
            <w:r>
              <w:rPr>
                <w:rFonts w:hint="eastAsia" w:ascii="仿宋_GB2312" w:hAnsi="仿宋_GB2312" w:eastAsia="仿宋_GB2312" w:cs="仿宋_GB2312"/>
                <w:b/>
              </w:rPr>
              <w:t>要求；</w:t>
            </w:r>
            <w:r>
              <w:rPr>
                <w:rFonts w:hint="eastAsia" w:ascii="仿宋_GB2312" w:hAnsi="仿宋_GB2312" w:eastAsia="仿宋_GB2312" w:cs="仿宋_GB2312"/>
              </w:rPr>
              <w:t>响应文件电子版内容：</w:t>
            </w:r>
            <w:r>
              <w:rPr>
                <w:rFonts w:hint="eastAsia" w:ascii="仿宋_GB2312" w:hAnsi="仿宋_GB2312" w:eastAsia="仿宋_GB2312" w:cs="仿宋_GB2312"/>
                <w:u w:val="single"/>
              </w:rPr>
              <w:t>与正本保持一致</w:t>
            </w:r>
          </w:p>
          <w:p>
            <w:pPr>
              <w:ind w:left="2940" w:leftChars="400" w:hanging="2100" w:hangingChars="1000"/>
              <w:rPr>
                <w:rFonts w:hint="eastAsia" w:ascii="仿宋_GB2312" w:hAnsi="仿宋_GB2312" w:eastAsia="仿宋_GB2312" w:cs="仿宋_GB2312"/>
              </w:rPr>
            </w:pPr>
            <w:r>
              <w:rPr>
                <w:rFonts w:hint="eastAsia" w:ascii="仿宋_GB2312" w:hAnsi="仿宋_GB2312" w:eastAsia="仿宋_GB2312" w:cs="仿宋_GB2312"/>
              </w:rPr>
              <w:t>响应文件电子版格式：</w:t>
            </w:r>
            <w:r>
              <w:rPr>
                <w:rFonts w:hint="eastAsia" w:ascii="仿宋_GB2312" w:hAnsi="仿宋_GB2312" w:eastAsia="仿宋_GB2312" w:cs="仿宋_GB2312"/>
                <w:u w:val="single"/>
              </w:rPr>
              <w:t>正本文件盖章签字后扫描成PDF格式</w:t>
            </w:r>
          </w:p>
          <w:p>
            <w:pPr>
              <w:ind w:left="897" w:leftChars="427"/>
              <w:rPr>
                <w:rFonts w:hint="eastAsia" w:ascii="仿宋_GB2312" w:hAnsi="仿宋_GB2312" w:eastAsia="仿宋_GB2312" w:cs="仿宋_GB2312"/>
              </w:rPr>
            </w:pPr>
            <w:r>
              <w:rPr>
                <w:rFonts w:hint="eastAsia" w:ascii="仿宋_GB2312" w:hAnsi="仿宋_GB2312" w:eastAsia="仿宋_GB2312" w:cs="仿宋_GB2312"/>
              </w:rPr>
              <w:t>响应文件电子版份数：</w:t>
            </w:r>
            <w:r>
              <w:rPr>
                <w:rFonts w:hint="eastAsia" w:ascii="仿宋_GB2312" w:hAnsi="仿宋_GB2312" w:eastAsia="仿宋_GB2312" w:cs="仿宋_GB2312"/>
                <w:u w:val="single"/>
              </w:rPr>
              <w:t>1份</w:t>
            </w:r>
          </w:p>
          <w:p>
            <w:pPr>
              <w:spacing w:line="36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rPr>
              <w:t>响应文件电子版形式：</w:t>
            </w:r>
            <w:r>
              <w:rPr>
                <w:rFonts w:hint="eastAsia" w:ascii="仿宋_GB2312" w:hAnsi="仿宋_GB2312" w:eastAsia="仿宋_GB2312" w:cs="仿宋_GB2312"/>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是否退还响应文件</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pStyle w:val="8"/>
              <w:topLinePunct/>
              <w:spacing w:line="3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询价时间和地点</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询价时间：</w:t>
            </w:r>
            <w:r>
              <w:rPr>
                <w:rFonts w:hint="eastAsia" w:ascii="仿宋_GB2312" w:hAnsi="仿宋_GB2312" w:eastAsia="仿宋_GB2312" w:cs="仿宋_GB2312"/>
                <w:b/>
                <w:bCs/>
                <w:kern w:val="0"/>
                <w:szCs w:val="21"/>
              </w:rPr>
              <w:t>同响应文件递交截止时间</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询价地点：</w:t>
            </w:r>
            <w:r>
              <w:rPr>
                <w:rFonts w:hint="eastAsia" w:ascii="仿宋_GB2312" w:hAnsi="仿宋_GB2312" w:eastAsia="仿宋_GB2312" w:cs="仿宋_GB2312"/>
                <w:szCs w:val="21"/>
                <w:lang w:eastAsia="zh-CN"/>
              </w:rPr>
              <w:t>名旺工程咨询（湖北）有限公司</w:t>
            </w:r>
            <w:r>
              <w:rPr>
                <w:rFonts w:hint="eastAsia" w:ascii="仿宋_GB2312" w:hAnsi="仿宋_GB2312" w:eastAsia="仿宋_GB2312" w:cs="仿宋_GB2312"/>
                <w:szCs w:val="21"/>
              </w:rPr>
              <w:t>会议室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22</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rPr>
              <w:t>投标预备会</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rPr>
              <w:t>■</w:t>
            </w:r>
            <w:r>
              <w:rPr>
                <w:rFonts w:hint="eastAsia" w:ascii="仿宋_GB2312" w:hAnsi="仿宋_GB2312" w:eastAsia="仿宋_GB2312" w:cs="仿宋_GB2312"/>
                <w:b/>
              </w:rPr>
              <w:t>不召开;</w:t>
            </w:r>
          </w:p>
          <w:p>
            <w:pPr>
              <w:rPr>
                <w:rFonts w:hint="eastAsia" w:ascii="仿宋_GB2312" w:hAnsi="仿宋_GB2312" w:eastAsia="仿宋_GB2312" w:cs="仿宋_GB2312"/>
              </w:rPr>
            </w:pPr>
            <w:r>
              <w:rPr>
                <w:rFonts w:hint="eastAsia" w:ascii="仿宋_GB2312" w:hAnsi="仿宋_GB2312" w:eastAsia="仿宋_GB2312" w:cs="仿宋_GB2312"/>
                <w:szCs w:val="21"/>
                <w:lang w:eastAsia="zh-CN"/>
              </w:rPr>
              <w:t>□</w:t>
            </w:r>
            <w:r>
              <w:rPr>
                <w:rFonts w:hint="eastAsia" w:ascii="仿宋_GB2312" w:hAnsi="仿宋_GB2312" w:eastAsia="仿宋_GB2312" w:cs="仿宋_GB2312"/>
              </w:rPr>
              <w:t>召开，召开时间：</w:t>
            </w:r>
          </w:p>
          <w:p>
            <w:pPr>
              <w:ind w:firstLine="840" w:firstLineChars="400"/>
              <w:rPr>
                <w:rFonts w:hint="eastAsia" w:ascii="仿宋_GB2312" w:hAnsi="仿宋_GB2312" w:eastAsia="仿宋_GB2312" w:cs="仿宋_GB2312"/>
                <w:color w:val="000000"/>
                <w:kern w:val="0"/>
                <w:szCs w:val="21"/>
              </w:rPr>
            </w:pPr>
            <w:r>
              <w:rPr>
                <w:rFonts w:hint="eastAsia" w:ascii="仿宋_GB2312" w:hAnsi="仿宋_GB2312" w:eastAsia="仿宋_GB2312" w:cs="仿宋_GB2312"/>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rPr>
              <w:t>中标后分包</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rPr>
              <w:t>■</w:t>
            </w:r>
            <w:r>
              <w:rPr>
                <w:rFonts w:hint="eastAsia" w:ascii="仿宋_GB2312" w:hAnsi="仿宋_GB2312" w:eastAsia="仿宋_GB2312" w:cs="仿宋_GB2312"/>
                <w:b/>
              </w:rPr>
              <w:t>不允许</w:t>
            </w:r>
          </w:p>
          <w:p>
            <w:pPr>
              <w:rPr>
                <w:rFonts w:hint="eastAsia" w:ascii="仿宋_GB2312" w:hAnsi="仿宋_GB2312" w:eastAsia="仿宋_GB2312" w:cs="仿宋_GB2312"/>
              </w:rPr>
            </w:pPr>
            <w:r>
              <w:rPr>
                <w:rFonts w:hint="eastAsia" w:ascii="仿宋_GB2312" w:hAnsi="仿宋_GB2312" w:eastAsia="仿宋_GB2312" w:cs="仿宋_GB2312"/>
                <w:szCs w:val="21"/>
              </w:rPr>
              <w:t>□</w:t>
            </w:r>
            <w:r>
              <w:rPr>
                <w:rFonts w:hint="eastAsia" w:ascii="仿宋_GB2312" w:hAnsi="仿宋_GB2312" w:eastAsia="仿宋_GB2312" w:cs="仿宋_GB2312"/>
              </w:rPr>
              <w:t>允许，分包内容要求：</w:t>
            </w:r>
          </w:p>
          <w:p>
            <w:pPr>
              <w:ind w:firstLine="735" w:firstLineChars="350"/>
              <w:rPr>
                <w:rFonts w:hint="eastAsia" w:ascii="仿宋_GB2312" w:hAnsi="仿宋_GB2312" w:eastAsia="仿宋_GB2312" w:cs="仿宋_GB2312"/>
              </w:rPr>
            </w:pPr>
            <w:r>
              <w:rPr>
                <w:rFonts w:hint="eastAsia" w:ascii="仿宋_GB2312" w:hAnsi="仿宋_GB2312" w:eastAsia="仿宋_GB2312" w:cs="仿宋_GB2312"/>
              </w:rPr>
              <w:t>分包金额要求：</w:t>
            </w:r>
          </w:p>
          <w:p>
            <w:pPr>
              <w:ind w:firstLine="735" w:firstLineChars="350"/>
              <w:rPr>
                <w:rFonts w:hint="eastAsia" w:ascii="仿宋_GB2312" w:hAnsi="仿宋_GB2312" w:eastAsia="仿宋_GB2312" w:cs="仿宋_GB2312"/>
                <w:color w:val="000000"/>
                <w:kern w:val="0"/>
                <w:szCs w:val="21"/>
              </w:rPr>
            </w:pPr>
            <w:r>
              <w:rPr>
                <w:rFonts w:hint="eastAsia" w:ascii="仿宋_GB2312" w:hAnsi="仿宋_GB2312" w:eastAsia="仿宋_GB2312" w:cs="仿宋_GB2312"/>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24</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是否允许递交备选投标方案</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rPr>
              <w:t>■</w:t>
            </w:r>
            <w:r>
              <w:rPr>
                <w:rFonts w:hint="eastAsia" w:ascii="仿宋_GB2312" w:hAnsi="仿宋_GB2312" w:eastAsia="仿宋_GB2312" w:cs="仿宋_GB2312"/>
                <w:b/>
              </w:rPr>
              <w:t>不允许</w:t>
            </w:r>
          </w:p>
          <w:p>
            <w:pPr>
              <w:rPr>
                <w:rFonts w:hint="eastAsia" w:ascii="仿宋_GB2312" w:hAnsi="仿宋_GB2312" w:eastAsia="仿宋_GB2312" w:cs="仿宋_GB2312"/>
              </w:rPr>
            </w:pPr>
            <w:r>
              <w:rPr>
                <w:rFonts w:hint="eastAsia" w:ascii="仿宋_GB2312" w:hAnsi="仿宋_GB2312" w:eastAsia="仿宋_GB2312" w:cs="仿宋_GB2312"/>
                <w:szCs w:val="21"/>
              </w:rPr>
              <w:t>□</w:t>
            </w:r>
            <w:r>
              <w:rPr>
                <w:rFonts w:hint="eastAsia" w:ascii="仿宋_GB2312" w:hAnsi="仿宋_GB2312" w:eastAsia="仿宋_GB2312" w:cs="仿宋_GB2312"/>
              </w:rPr>
              <w:t>允许</w:t>
            </w:r>
          </w:p>
        </w:tc>
      </w:tr>
      <w:tr>
        <w:tblPrEx>
          <w:tblCellMar>
            <w:top w:w="0" w:type="dxa"/>
            <w:left w:w="108" w:type="dxa"/>
            <w:bottom w:w="0" w:type="dxa"/>
            <w:right w:w="108" w:type="dxa"/>
          </w:tblCellMar>
        </w:tblPrEx>
        <w:trPr>
          <w:trHeight w:val="48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25</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履约担保</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rPr>
            </w:pPr>
            <w:r>
              <w:rPr>
                <w:rFonts w:hint="eastAsia" w:ascii="仿宋_GB2312" w:hAnsi="仿宋_GB2312" w:eastAsia="仿宋_GB2312" w:cs="仿宋_GB2312"/>
                <w:szCs w:val="21"/>
              </w:rPr>
              <w:t>■</w:t>
            </w:r>
            <w:r>
              <w:rPr>
                <w:rFonts w:hint="eastAsia" w:ascii="仿宋_GB2312" w:hAnsi="仿宋_GB2312" w:eastAsia="仿宋_GB2312" w:cs="仿宋_GB2312"/>
                <w:b/>
              </w:rPr>
              <w:t>无</w:t>
            </w:r>
          </w:p>
          <w:p>
            <w:pPr>
              <w:rPr>
                <w:rFonts w:hint="eastAsia" w:ascii="仿宋_GB2312" w:hAnsi="仿宋_GB2312" w:eastAsia="仿宋_GB2312" w:cs="仿宋_GB2312"/>
              </w:rPr>
            </w:pPr>
            <w:r>
              <w:rPr>
                <w:rFonts w:hint="eastAsia" w:ascii="仿宋_GB2312" w:hAnsi="仿宋_GB2312" w:eastAsia="仿宋_GB2312" w:cs="仿宋_GB2312"/>
                <w:szCs w:val="21"/>
              </w:rPr>
              <w:t>□</w:t>
            </w:r>
            <w:r>
              <w:rPr>
                <w:rFonts w:hint="eastAsia" w:ascii="仿宋_GB2312" w:hAnsi="仿宋_GB2312" w:eastAsia="仿宋_GB2312" w:cs="仿宋_GB2312"/>
              </w:rPr>
              <w:t>有</w:t>
            </w:r>
          </w:p>
          <w:p>
            <w:pPr>
              <w:rPr>
                <w:rFonts w:hint="eastAsia" w:ascii="仿宋_GB2312" w:hAnsi="仿宋_GB2312" w:eastAsia="仿宋_GB2312" w:cs="仿宋_GB2312"/>
              </w:rPr>
            </w:pPr>
            <w:r>
              <w:rPr>
                <w:rFonts w:hint="eastAsia" w:ascii="仿宋_GB2312" w:hAnsi="仿宋_GB2312" w:eastAsia="仿宋_GB2312" w:cs="仿宋_GB2312"/>
              </w:rPr>
              <w:t>履约担保金额：</w:t>
            </w:r>
            <w:r>
              <w:rPr>
                <w:rFonts w:hint="eastAsia" w:ascii="仿宋_GB2312" w:hAnsi="仿宋_GB2312" w:eastAsia="仿宋_GB2312" w:cs="仿宋_GB2312"/>
                <w:u w:val="single"/>
              </w:rPr>
              <w:t xml:space="preserve"> 合同金额的10%</w:t>
            </w:r>
          </w:p>
          <w:p>
            <w:pPr>
              <w:rPr>
                <w:rFonts w:hint="eastAsia" w:ascii="仿宋_GB2312" w:hAnsi="仿宋_GB2312" w:eastAsia="仿宋_GB2312" w:cs="仿宋_GB2312"/>
              </w:rPr>
            </w:pPr>
            <w:r>
              <w:rPr>
                <w:rFonts w:hint="eastAsia" w:ascii="仿宋_GB2312" w:hAnsi="仿宋_GB2312" w:eastAsia="仿宋_GB2312" w:cs="仿宋_GB2312"/>
              </w:rPr>
              <w:t>履约担保形式：</w:t>
            </w:r>
            <w:r>
              <w:rPr>
                <w:rFonts w:hint="eastAsia" w:ascii="仿宋_GB2312" w:hAnsi="仿宋_GB2312" w:eastAsia="仿宋_GB2312" w:cs="仿宋_GB2312"/>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26</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rPr>
            </w:pPr>
            <w:r>
              <w:rPr>
                <w:rFonts w:hint="eastAsia" w:ascii="仿宋_GB2312" w:hAnsi="仿宋_GB2312" w:eastAsia="仿宋_GB2312" w:cs="仿宋_GB2312"/>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27</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供应商不得存在的其他情形</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1、单位负责人为同一人或者存在直接控股、管理关系的不同供应商，不得参加同一合同项下的政府采购活动；</w:t>
            </w:r>
          </w:p>
          <w:p>
            <w:pPr>
              <w:rPr>
                <w:rFonts w:hint="eastAsia" w:ascii="仿宋_GB2312" w:hAnsi="仿宋_GB2312" w:eastAsia="仿宋_GB2312" w:cs="仿宋_GB2312"/>
              </w:rPr>
            </w:pPr>
            <w:r>
              <w:rPr>
                <w:rFonts w:hint="eastAsia" w:ascii="仿宋_GB2312" w:hAnsi="仿宋_GB2312" w:eastAsia="仿宋_GB2312" w:cs="仿宋_GB2312"/>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8</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szCs w:val="21"/>
              </w:rPr>
              <w:t>评审办法</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rPr>
            </w:pPr>
            <w:r>
              <w:rPr>
                <w:rFonts w:hint="eastAsia" w:ascii="仿宋_GB2312" w:hAnsi="仿宋_GB2312" w:eastAsia="仿宋_GB2312" w:cs="仿宋_GB2312"/>
                <w:color w:val="000000"/>
                <w:kern w:val="0"/>
                <w:szCs w:val="21"/>
              </w:rPr>
              <w:t>最低评标价法。根据符合采购需求、质量和服务相等且报价最低的原则确定成交供应商。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lang w:val="en-US" w:eastAsia="zh-CN"/>
              </w:rPr>
              <w:t>29</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需要补充的其他内容</w:t>
            </w:r>
          </w:p>
        </w:tc>
        <w:tc>
          <w:tcPr>
            <w:tcW w:w="530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r>
              <w:rPr>
                <w:rFonts w:hint="eastAsia" w:ascii="仿宋_GB2312" w:hAnsi="仿宋_GB2312" w:eastAsia="仿宋_GB2312" w:cs="仿宋_GB2312"/>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年3月1日，则“近三年”是指201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年3月1日至20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年3月1日。</w:t>
            </w:r>
          </w:p>
          <w:p>
            <w:pPr>
              <w:rPr>
                <w:rFonts w:hint="eastAsia" w:ascii="仿宋_GB2312" w:hAnsi="仿宋_GB2312" w:eastAsia="仿宋_GB2312" w:cs="仿宋_GB2312"/>
              </w:rPr>
            </w:pPr>
            <w:r>
              <w:rPr>
                <w:rFonts w:hint="eastAsia" w:ascii="仿宋_GB2312" w:hAnsi="仿宋_GB2312" w:eastAsia="仿宋_GB2312" w:cs="仿宋_GB2312"/>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年3月1日，则“近三年”是指201</w:t>
            </w:r>
            <w:r>
              <w:rPr>
                <w:rFonts w:hint="eastAsia" w:ascii="仿宋_GB2312" w:hAnsi="仿宋_GB2312" w:eastAsia="仿宋_GB2312" w:cs="仿宋_GB2312"/>
                <w:lang w:val="en-US" w:eastAsia="zh-CN"/>
              </w:rPr>
              <w:t>7</w:t>
            </w:r>
            <w:r>
              <w:rPr>
                <w:rFonts w:hint="eastAsia" w:ascii="仿宋_GB2312" w:hAnsi="仿宋_GB2312" w:eastAsia="仿宋_GB2312" w:cs="仿宋_GB2312"/>
              </w:rPr>
              <w:t>年度、201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年度、201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年度。</w:t>
            </w:r>
          </w:p>
          <w:p>
            <w:pPr>
              <w:rPr>
                <w:rFonts w:hint="eastAsia" w:ascii="仿宋_GB2312" w:hAnsi="仿宋_GB2312" w:eastAsia="仿宋_GB2312" w:cs="仿宋_GB2312"/>
              </w:rPr>
            </w:pPr>
            <w:r>
              <w:rPr>
                <w:rFonts w:hint="eastAsia" w:ascii="仿宋_GB2312" w:hAnsi="仿宋_GB2312" w:eastAsia="仿宋_GB2312" w:cs="仿宋_GB2312"/>
              </w:rPr>
              <w:t>递交响应文件时间如在当年6月30日以后，则近三年是指上个年度往前推算的3年，如递交响应文件时间为20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年7月1日，则“近三年”是指201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年度、201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年度、20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年度。</w:t>
            </w:r>
          </w:p>
          <w:p>
            <w:pPr>
              <w:rPr>
                <w:rFonts w:hint="eastAsia" w:ascii="仿宋_GB2312" w:hAnsi="仿宋_GB2312" w:eastAsia="仿宋_GB2312" w:cs="仿宋_GB2312"/>
              </w:rPr>
            </w:pPr>
            <w:r>
              <w:rPr>
                <w:rFonts w:hint="eastAsia" w:ascii="仿宋_GB2312" w:hAnsi="仿宋_GB2312" w:eastAsia="仿宋_GB2312" w:cs="仿宋_GB2312"/>
              </w:rPr>
              <w:t>若采购文件中有明确标明时间的从其要求。</w:t>
            </w:r>
          </w:p>
          <w:p>
            <w:pPr>
              <w:autoSpaceDE w:val="0"/>
              <w:autoSpaceDN w:val="0"/>
              <w:snapToGrid w:val="0"/>
              <w:rPr>
                <w:rFonts w:hint="eastAsia" w:ascii="仿宋_GB2312" w:hAnsi="仿宋_GB2312" w:eastAsia="仿宋_GB2312" w:cs="仿宋_GB2312"/>
              </w:rPr>
            </w:pPr>
            <w:r>
              <w:rPr>
                <w:rFonts w:hint="eastAsia" w:ascii="仿宋_GB2312" w:hAnsi="仿宋_GB2312" w:eastAsia="仿宋_GB2312" w:cs="仿宋_GB2312"/>
              </w:rPr>
              <w:t>3、本采购文件所称的“以上”、“以下”、“内”、“以内”，包括本数；所称的“不足”，不包括本数。</w:t>
            </w:r>
          </w:p>
          <w:p>
            <w:pPr>
              <w:rPr>
                <w:rFonts w:hint="eastAsia" w:ascii="仿宋_GB2312" w:hAnsi="仿宋_GB2312" w:eastAsia="仿宋_GB2312" w:cs="仿宋_GB2312"/>
              </w:rPr>
            </w:pPr>
            <w:r>
              <w:rPr>
                <w:rFonts w:hint="eastAsia" w:ascii="仿宋_GB2312" w:hAnsi="仿宋_GB2312" w:eastAsia="仿宋_GB2312" w:cs="仿宋_GB2312"/>
              </w:rPr>
              <w:t>4、采购须知前附表中，“</w:t>
            </w:r>
            <w:r>
              <w:rPr>
                <w:rFonts w:hint="eastAsia" w:ascii="仿宋_GB2312" w:hAnsi="仿宋_GB2312" w:eastAsia="仿宋_GB2312" w:cs="仿宋_GB2312"/>
                <w:szCs w:val="21"/>
              </w:rPr>
              <w:t>■</w:t>
            </w:r>
            <w:r>
              <w:rPr>
                <w:rFonts w:hint="eastAsia" w:ascii="仿宋_GB2312" w:hAnsi="仿宋_GB2312" w:eastAsia="仿宋_GB2312" w:cs="仿宋_GB2312"/>
              </w:rPr>
              <w:t>”代表选中，“□”代表未选中。</w:t>
            </w:r>
          </w:p>
        </w:tc>
      </w:tr>
    </w:tbl>
    <w:p>
      <w:pPr>
        <w:spacing w:line="440" w:lineRule="exact"/>
        <w:rPr>
          <w:rFonts w:hint="eastAsia" w:ascii="宋体" w:hAnsi="宋体" w:cs="宋体"/>
          <w:b/>
          <w:bCs/>
          <w:sz w:val="28"/>
          <w:szCs w:val="28"/>
        </w:rPr>
      </w:pPr>
      <w:bookmarkStart w:id="7" w:name="_Toc495943756"/>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bookmarkStart w:id="8" w:name="_Toc4922_WPSOffice_Level2"/>
      <w:r>
        <w:rPr>
          <w:rFonts w:hint="eastAsia" w:ascii="宋体" w:hAnsi="宋体" w:cs="宋体"/>
          <w:b/>
          <w:bCs/>
          <w:sz w:val="24"/>
          <w:szCs w:val="24"/>
        </w:rPr>
        <w:t>一、 说   明</w:t>
      </w:r>
      <w:bookmarkEnd w:id="8"/>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1、适用范围</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本采购文件仅适用于第一章“</w:t>
      </w:r>
      <w:r>
        <w:rPr>
          <w:rFonts w:hint="eastAsia" w:ascii="宋体" w:hAnsi="宋体" w:cs="宋体"/>
          <w:sz w:val="24"/>
          <w:szCs w:val="24"/>
          <w:lang w:val="en-US" w:eastAsia="zh-CN"/>
        </w:rPr>
        <w:t>询价采购公告</w:t>
      </w:r>
      <w:r>
        <w:rPr>
          <w:rFonts w:hint="eastAsia" w:ascii="宋体" w:hAnsi="宋体" w:cs="宋体"/>
          <w:sz w:val="24"/>
          <w:szCs w:val="24"/>
        </w:rPr>
        <w:t>”中所述项目的货物、工程及服务的采购。</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2、当事人定义</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2.1、“采购人”是</w:t>
      </w:r>
      <w:r>
        <w:rPr>
          <w:rFonts w:hint="eastAsia" w:ascii="宋体" w:hAnsi="宋体" w:cs="宋体"/>
          <w:sz w:val="24"/>
          <w:szCs w:val="24"/>
        </w:rPr>
        <w:t>指：</w:t>
      </w:r>
      <w:r>
        <w:rPr>
          <w:rFonts w:hint="eastAsia" w:ascii="宋体" w:hAnsi="宋体" w:cs="宋体"/>
          <w:sz w:val="24"/>
          <w:szCs w:val="24"/>
          <w:lang w:eastAsia="zh-CN"/>
        </w:rPr>
        <w:t>仙桃市自然资源和规划局</w:t>
      </w:r>
      <w:r>
        <w:rPr>
          <w:rFonts w:hint="eastAsia" w:ascii="宋体" w:hAnsi="宋体" w:cs="宋体"/>
          <w:sz w:val="24"/>
          <w:szCs w:val="24"/>
        </w:rPr>
        <w:t>。</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2.2、“监管部门”是指：</w:t>
      </w:r>
      <w:r>
        <w:rPr>
          <w:rFonts w:hint="eastAsia" w:ascii="宋体" w:hAnsi="宋体" w:cs="宋体"/>
          <w:sz w:val="24"/>
          <w:szCs w:val="24"/>
        </w:rPr>
        <w:t>仙桃市政府采购监管办公室。</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2.3、“采购代理机构”是指：</w:t>
      </w:r>
      <w:r>
        <w:rPr>
          <w:rFonts w:hint="eastAsia" w:ascii="宋体" w:hAnsi="宋体" w:cs="宋体"/>
          <w:sz w:val="24"/>
          <w:szCs w:val="24"/>
          <w:lang w:eastAsia="zh-CN"/>
        </w:rPr>
        <w:t>名旺工程咨询（湖北）有限公司</w:t>
      </w:r>
      <w:r>
        <w:rPr>
          <w:rFonts w:hint="eastAsia" w:ascii="宋体" w:hAnsi="宋体" w:cs="宋体"/>
          <w:sz w:val="24"/>
          <w:szCs w:val="24"/>
        </w:rPr>
        <w:t>。</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2.4、“供应商”是指：</w:t>
      </w:r>
      <w:r>
        <w:rPr>
          <w:rFonts w:hint="eastAsia" w:ascii="宋体" w:hAnsi="宋体" w:cs="宋体"/>
          <w:sz w:val="24"/>
          <w:szCs w:val="24"/>
        </w:rPr>
        <w:t>响应招标采购、参加投标竞争的法人、其他组织或者自然人。</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2.5、“合格的供应商”是指：</w:t>
      </w:r>
      <w:r>
        <w:rPr>
          <w:rFonts w:hint="eastAsia" w:ascii="宋体" w:hAnsi="宋体" w:cs="宋体"/>
          <w:sz w:val="24"/>
          <w:szCs w:val="24"/>
        </w:rPr>
        <w:t>资格审查和符合性审查合格的供应商。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2.6、“成交供应商”是指：</w:t>
      </w:r>
      <w:r>
        <w:rPr>
          <w:rFonts w:hint="eastAsia" w:ascii="宋体" w:hAnsi="宋体" w:cs="宋体"/>
          <w:sz w:val="24"/>
          <w:szCs w:val="24"/>
        </w:rPr>
        <w:t>经评审委员会评审，授予合同的供应商。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3、项目属性及定义</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3.1、“货物”是指：</w:t>
      </w:r>
      <w:r>
        <w:rPr>
          <w:rFonts w:hint="eastAsia" w:ascii="宋体" w:hAnsi="宋体" w:cs="宋体"/>
          <w:sz w:val="24"/>
          <w:szCs w:val="24"/>
        </w:rPr>
        <w:t>各种形态和种类的物品，包括原材料、燃料、设备、产品等。</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3.1.1 采购文件中没有提及采购货物来源地的，根据《政府采购法》及相关规定均应是本国货物，另有规定的除外。</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3.1.2 投标的货物应是合法生产的符合国家有关标准要求的货物，并能够按照合同规定的品牌、产地、质量、价格和有效期等履约。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“工程”是指：</w:t>
      </w:r>
      <w:r>
        <w:rPr>
          <w:rFonts w:hint="eastAsia" w:ascii="宋体" w:hAnsi="宋体" w:eastAsia="宋体" w:cs="宋体"/>
          <w:b/>
          <w:bCs/>
          <w:color w:val="auto"/>
          <w:sz w:val="24"/>
          <w:szCs w:val="24"/>
          <w:lang w:val="en-US" w:eastAsia="zh-CN"/>
        </w:rPr>
        <w:t>与</w:t>
      </w:r>
      <w:r>
        <w:rPr>
          <w:rFonts w:hint="default" w:ascii="宋体" w:hAnsi="宋体" w:eastAsia="宋体" w:cs="宋体"/>
          <w:b w:val="0"/>
          <w:bCs w:val="0"/>
          <w:sz w:val="24"/>
          <w:szCs w:val="24"/>
          <w:lang w:eastAsia="zh-CN"/>
        </w:rPr>
        <w:t>建设工程，包括建筑物和构筑物的新建、改建、扩建、装修、拆除、修缮等</w:t>
      </w:r>
      <w:r>
        <w:rPr>
          <w:rFonts w:hint="eastAsia" w:ascii="宋体" w:hAnsi="宋体" w:eastAsia="宋体" w:cs="宋体"/>
          <w:b w:val="0"/>
          <w:bCs w:val="0"/>
          <w:sz w:val="24"/>
          <w:szCs w:val="24"/>
          <w:lang w:val="en-US" w:eastAsia="zh-CN"/>
        </w:rPr>
        <w:t>无关的工程</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3</w:t>
      </w:r>
      <w:r>
        <w:rPr>
          <w:rFonts w:hint="eastAsia" w:ascii="宋体" w:hAnsi="宋体" w:cs="宋体"/>
          <w:b/>
          <w:bCs/>
          <w:sz w:val="24"/>
          <w:szCs w:val="24"/>
        </w:rPr>
        <w:t>、“服务”是指：</w:t>
      </w:r>
      <w:r>
        <w:rPr>
          <w:rFonts w:hint="eastAsia" w:ascii="宋体" w:hAnsi="宋体" w:cs="宋体"/>
          <w:sz w:val="24"/>
          <w:szCs w:val="24"/>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rPr>
        <w:t>。</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4</w:t>
      </w:r>
      <w:r>
        <w:rPr>
          <w:rFonts w:hint="eastAsia" w:ascii="宋体" w:hAnsi="宋体" w:cs="宋体"/>
          <w:b/>
          <w:bCs/>
          <w:sz w:val="24"/>
          <w:szCs w:val="24"/>
        </w:rPr>
        <w:t>、</w:t>
      </w:r>
      <w:r>
        <w:rPr>
          <w:rFonts w:hint="eastAsia" w:ascii="宋体" w:hAnsi="宋体" w:cs="宋体"/>
          <w:sz w:val="24"/>
          <w:szCs w:val="24"/>
        </w:rPr>
        <w:t>采购人应当按照财政部制定的《政府采购品目分类目录》确定采购项目属性。按照《政府采购品目分类目录》无法确定的，按照有利于采购项目实施的原则确定。</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4、投标费用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4.1供应商应承担所有与准备和参加投标有关的费用。不论投标的结果如何，采购代理机构和采购人均无义务和责任承担这些费用。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4.2成交服务费：成交供应商须在领取成交通知书的同时向采购代理机构支付成交服务费。服务费支付标准和方法详见《询价采购须知前附表》第16项。</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rPr>
      </w:pPr>
      <w:bookmarkStart w:id="9" w:name="_Toc12597_WPSOffice_Level2"/>
      <w:r>
        <w:rPr>
          <w:rFonts w:hint="eastAsia" w:ascii="宋体" w:hAnsi="宋体" w:cs="宋体"/>
          <w:b/>
          <w:bCs/>
          <w:sz w:val="24"/>
          <w:szCs w:val="24"/>
        </w:rPr>
        <w:t>二、</w:t>
      </w:r>
      <w:bookmarkEnd w:id="7"/>
      <w:r>
        <w:rPr>
          <w:rFonts w:hint="eastAsia" w:ascii="宋体" w:hAnsi="宋体" w:cs="宋体"/>
          <w:b/>
          <w:bCs/>
          <w:sz w:val="24"/>
          <w:szCs w:val="24"/>
        </w:rPr>
        <w:t>询价文件</w:t>
      </w:r>
      <w:bookmarkEnd w:id="9"/>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5、询价文件的获得  </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5.1 供应商向采购代理机构购买询价文件。</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6、询价文件的组成                                             </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6.1 询价文件包括：目录第一章至第五章。</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pageBreakBefore w:val="0"/>
        <w:kinsoku/>
        <w:wordWrap/>
        <w:overflowPunct/>
        <w:topLinePunct w:val="0"/>
        <w:autoSpaceDE/>
        <w:autoSpaceDN/>
        <w:bidi w:val="0"/>
        <w:adjustRightInd/>
        <w:spacing w:line="360" w:lineRule="auto"/>
        <w:ind w:firstLine="482" w:firstLineChars="200"/>
        <w:jc w:val="left"/>
        <w:textAlignment w:val="auto"/>
        <w:rPr>
          <w:rFonts w:ascii="宋体" w:hAnsi="宋体"/>
          <w:b/>
          <w:sz w:val="24"/>
          <w:szCs w:val="24"/>
        </w:rPr>
      </w:pPr>
      <w:r>
        <w:rPr>
          <w:rFonts w:hint="eastAsia" w:ascii="宋体" w:hAnsi="宋体"/>
          <w:b/>
          <w:sz w:val="24"/>
          <w:szCs w:val="24"/>
        </w:rPr>
        <w:t>7、询价文件疑问的提交</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7.2潜在供应商在项目招标公告期限届满之日起规定时间内未对询价文件提出疑问的，采购代理机构将视其认同询价文件，在规定的时间后就询价文件内容提出的疑问将不予受理。</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pageBreakBefore w:val="0"/>
        <w:kinsoku/>
        <w:wordWrap/>
        <w:overflowPunct/>
        <w:topLinePunct w:val="0"/>
        <w:autoSpaceDE/>
        <w:autoSpaceDN/>
        <w:bidi w:val="0"/>
        <w:adjustRightInd/>
        <w:spacing w:line="360" w:lineRule="auto"/>
        <w:ind w:firstLine="482" w:firstLineChars="200"/>
        <w:jc w:val="left"/>
        <w:textAlignment w:val="auto"/>
        <w:rPr>
          <w:rFonts w:ascii="宋体" w:hAnsi="宋体"/>
          <w:b/>
          <w:sz w:val="24"/>
          <w:szCs w:val="24"/>
        </w:rPr>
      </w:pPr>
      <w:r>
        <w:rPr>
          <w:rFonts w:hint="eastAsia" w:ascii="宋体" w:hAnsi="宋体"/>
          <w:b/>
          <w:sz w:val="24"/>
          <w:szCs w:val="24"/>
        </w:rPr>
        <w:t>8、询价文件的澄清、修改</w:t>
      </w:r>
    </w:p>
    <w:p>
      <w:pPr>
        <w:pageBreakBefore w:val="0"/>
        <w:kinsoku/>
        <w:wordWrap/>
        <w:overflowPunct/>
        <w:topLinePunct w:val="0"/>
        <w:autoSpaceDE/>
        <w:autoSpaceDN/>
        <w:bidi w:val="0"/>
        <w:adjustRightInd/>
        <w:spacing w:line="360" w:lineRule="auto"/>
        <w:ind w:firstLine="480" w:firstLineChars="200"/>
        <w:jc w:val="left"/>
        <w:textAlignment w:val="auto"/>
        <w:rPr>
          <w:rFonts w:ascii="宋体" w:hAnsi="宋体" w:cs="Helvetica"/>
          <w:kern w:val="0"/>
          <w:sz w:val="24"/>
          <w:szCs w:val="24"/>
        </w:rPr>
      </w:pPr>
      <w:r>
        <w:rPr>
          <w:rFonts w:hint="eastAsia" w:ascii="宋体" w:hAnsi="宋体"/>
          <w:sz w:val="24"/>
          <w:szCs w:val="24"/>
        </w:rPr>
        <w:t>8.1、采购代理机构和采购人可以对已发出的询价文件进行必要的澄清或者修改，</w:t>
      </w:r>
      <w:r>
        <w:rPr>
          <w:rFonts w:hint="eastAsia" w:ascii="宋体" w:hAnsi="宋体" w:cs="Helvetica"/>
          <w:kern w:val="0"/>
          <w:sz w:val="24"/>
          <w:szCs w:val="24"/>
        </w:rPr>
        <w:t>但不得改变采购标的和资格条件</w:t>
      </w:r>
      <w:r>
        <w:rPr>
          <w:rFonts w:hint="eastAsia" w:ascii="宋体" w:hAnsi="宋体"/>
          <w:sz w:val="24"/>
          <w:szCs w:val="24"/>
        </w:rPr>
        <w:t>。</w:t>
      </w:r>
      <w:r>
        <w:rPr>
          <w:rFonts w:hint="eastAsia" w:ascii="宋体" w:hAnsi="宋体" w:cs="Helvetica"/>
          <w:kern w:val="0"/>
          <w:sz w:val="24"/>
          <w:szCs w:val="24"/>
        </w:rPr>
        <w:t>澄清或者修改将在原公告发布媒体上发布澄清公告。澄清或者修改的内容可能影响响应文件编制的，采购代理机构和采购人将在规定时间前，以书面形式通知所有获取询价文件的潜在供应商。</w:t>
      </w:r>
    </w:p>
    <w:p>
      <w:pPr>
        <w:pageBreakBefore w:val="0"/>
        <w:kinsoku/>
        <w:wordWrap/>
        <w:overflowPunct/>
        <w:topLinePunct w:val="0"/>
        <w:autoSpaceDE/>
        <w:autoSpaceDN/>
        <w:bidi w:val="0"/>
        <w:adjustRightInd/>
        <w:spacing w:line="360" w:lineRule="auto"/>
        <w:ind w:firstLine="480" w:firstLineChars="200"/>
        <w:jc w:val="left"/>
        <w:textAlignment w:val="auto"/>
        <w:rPr>
          <w:rFonts w:ascii="宋体" w:hAnsi="宋体"/>
          <w:sz w:val="24"/>
          <w:szCs w:val="24"/>
        </w:rPr>
      </w:pPr>
      <w:r>
        <w:rPr>
          <w:rFonts w:hint="eastAsia" w:ascii="宋体" w:hAnsi="宋体"/>
          <w:sz w:val="24"/>
          <w:szCs w:val="24"/>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sz w:val="24"/>
          <w:szCs w:val="24"/>
        </w:rPr>
      </w:pPr>
      <w:r>
        <w:rPr>
          <w:rFonts w:hint="eastAsia" w:ascii="宋体" w:hAnsi="宋体"/>
          <w:sz w:val="24"/>
          <w:szCs w:val="24"/>
        </w:rPr>
        <w:t>8.3、澄清或者修改的内容为询价文件的组成部分，并对潜在供应商具有约束力。潜在供应商在收到上述通知后，应立即以书面（或邮件）形式向采购代理机构确认收悉。</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9、其他</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000000"/>
          <w:sz w:val="24"/>
          <w:szCs w:val="24"/>
        </w:rPr>
      </w:pPr>
      <w:r>
        <w:rPr>
          <w:rFonts w:hint="eastAsia" w:ascii="宋体" w:hAnsi="宋体" w:cs="Courier New"/>
          <w:color w:val="000000"/>
          <w:kern w:val="0"/>
          <w:sz w:val="24"/>
          <w:szCs w:val="24"/>
        </w:rPr>
        <w:t>9.1无论询价结果如何，采购人均无向供应商解释其成交或未成交原因的义务。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9.2无论成交与否，已购买询价文件的供应商对询价文件负保密责任。</w:t>
      </w:r>
      <w:r>
        <w:rPr>
          <w:rFonts w:hint="eastAsia" w:ascii="宋体" w:hAnsi="宋体"/>
          <w:sz w:val="24"/>
          <w:szCs w:val="24"/>
        </w:rPr>
        <w:t xml:space="preserve">    </w:t>
      </w:r>
    </w:p>
    <w:p>
      <w:pPr>
        <w:pStyle w:val="6"/>
        <w:pageBreakBefore w:val="0"/>
        <w:kinsoku/>
        <w:wordWrap/>
        <w:overflowPunct/>
        <w:topLinePunct w:val="0"/>
        <w:autoSpaceDE/>
        <w:autoSpaceDN/>
        <w:bidi w:val="0"/>
        <w:adjustRightInd/>
        <w:spacing w:before="0" w:after="0" w:line="360" w:lineRule="auto"/>
        <w:textAlignment w:val="auto"/>
        <w:rPr>
          <w:rFonts w:ascii="宋体" w:hAnsi="宋体"/>
          <w:sz w:val="24"/>
          <w:szCs w:val="24"/>
        </w:rPr>
      </w:pPr>
      <w:r>
        <w:rPr>
          <w:rFonts w:ascii="宋体" w:hAnsi="宋体"/>
          <w:sz w:val="24"/>
          <w:szCs w:val="24"/>
        </w:rPr>
        <w:t xml:space="preserve">    </w:t>
      </w:r>
      <w:bookmarkStart w:id="10" w:name="_Toc17746_WPSOffice_Level2"/>
      <w:r>
        <w:rPr>
          <w:rFonts w:ascii="宋体" w:hAnsi="宋体"/>
          <w:sz w:val="24"/>
          <w:szCs w:val="24"/>
        </w:rPr>
        <w:t>三、响应文件</w:t>
      </w:r>
      <w:bookmarkEnd w:id="10"/>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供应商应按询价文件的要求准备响应文件，并保证所提供的全部资料的真实性，准确性及完整性，以使其报价对询价文件做出实质性的响应，否则其投标资格有可能被询价小组否决。</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b/>
          <w:bCs/>
          <w:sz w:val="24"/>
          <w:szCs w:val="24"/>
        </w:rPr>
      </w:pPr>
      <w:r>
        <w:rPr>
          <w:rFonts w:hint="eastAsia" w:ascii="宋体" w:hAnsi="宋体"/>
          <w:b/>
          <w:bCs/>
          <w:sz w:val="24"/>
          <w:szCs w:val="24"/>
        </w:rPr>
        <w:t>10、响应文件的语言</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sz w:val="24"/>
          <w:szCs w:val="24"/>
        </w:rPr>
      </w:pPr>
      <w:r>
        <w:rPr>
          <w:rFonts w:hint="eastAsia" w:ascii="宋体" w:hAnsi="宋体"/>
          <w:sz w:val="24"/>
          <w:szCs w:val="24"/>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11. 响应文件的组成</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 响应文件应包括但不限于下列内容：</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11.1.1投标函；</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11.1.2报价一览表；</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w:t>
      </w:r>
      <w:r>
        <w:rPr>
          <w:rFonts w:hint="eastAsia" w:ascii="宋体" w:hAnsi="宋体"/>
          <w:sz w:val="24"/>
          <w:szCs w:val="24"/>
          <w:lang w:val="en-US" w:eastAsia="zh-CN"/>
        </w:rPr>
        <w:t>3</w:t>
      </w:r>
      <w:r>
        <w:rPr>
          <w:rFonts w:hint="eastAsia" w:ascii="宋体" w:hAnsi="宋体"/>
          <w:sz w:val="24"/>
          <w:szCs w:val="24"/>
        </w:rPr>
        <w:t>资格性符合性检查对照表；</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w:t>
      </w:r>
      <w:r>
        <w:rPr>
          <w:rFonts w:hint="eastAsia" w:ascii="宋体" w:hAnsi="宋体"/>
          <w:sz w:val="24"/>
          <w:szCs w:val="24"/>
          <w:lang w:val="en-US" w:eastAsia="zh-CN"/>
        </w:rPr>
        <w:t>4</w:t>
      </w:r>
      <w:r>
        <w:rPr>
          <w:rFonts w:hint="eastAsia" w:ascii="宋体" w:hAnsi="宋体"/>
          <w:sz w:val="24"/>
          <w:szCs w:val="24"/>
        </w:rPr>
        <w:t>法人（负责人）代表授权书；</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w:t>
      </w:r>
      <w:r>
        <w:rPr>
          <w:rFonts w:hint="eastAsia" w:ascii="宋体" w:hAnsi="宋体"/>
          <w:sz w:val="24"/>
          <w:szCs w:val="24"/>
          <w:lang w:val="en-US" w:eastAsia="zh-CN"/>
        </w:rPr>
        <w:t>5</w:t>
      </w:r>
      <w:r>
        <w:rPr>
          <w:rFonts w:hint="eastAsia" w:ascii="宋体" w:hAnsi="宋体"/>
          <w:sz w:val="24"/>
          <w:szCs w:val="24"/>
        </w:rPr>
        <w:t>法人或者其他组织的营业执照等证明文件，自然人的身份证明；</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11.1.</w:t>
      </w:r>
      <w:r>
        <w:rPr>
          <w:rFonts w:hint="eastAsia" w:ascii="宋体" w:hAnsi="宋体"/>
          <w:sz w:val="24"/>
          <w:szCs w:val="24"/>
          <w:lang w:val="en-US" w:eastAsia="zh-CN"/>
        </w:rPr>
        <w:t>6</w:t>
      </w:r>
      <w:r>
        <w:rPr>
          <w:rFonts w:hint="eastAsia" w:ascii="宋体" w:hAnsi="宋体"/>
          <w:sz w:val="24"/>
          <w:szCs w:val="24"/>
        </w:rPr>
        <w:t>参加政府采购活动前3年内在经营活动中没有重大违法记录的书面声明；</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lang w:eastAsia="zh-CN"/>
        </w:rPr>
      </w:pPr>
      <w:r>
        <w:rPr>
          <w:rFonts w:hint="eastAsia" w:ascii="宋体" w:hAnsi="宋体"/>
          <w:sz w:val="24"/>
          <w:szCs w:val="24"/>
        </w:rPr>
        <w:t>11.1.</w:t>
      </w:r>
      <w:r>
        <w:rPr>
          <w:rFonts w:hint="eastAsia" w:ascii="宋体" w:hAnsi="宋体"/>
          <w:sz w:val="24"/>
          <w:szCs w:val="24"/>
          <w:lang w:val="en-US" w:eastAsia="zh-CN"/>
        </w:rPr>
        <w:t>7</w:t>
      </w:r>
      <w:r>
        <w:rPr>
          <w:rFonts w:hint="eastAsia" w:ascii="宋体" w:hAnsi="宋体"/>
          <w:sz w:val="24"/>
          <w:szCs w:val="24"/>
        </w:rPr>
        <w:t>未被列入“信用中国”网站(www.creditchina. gov.cn)、中国政府采购网（www.ccgp.gov.cn）失信被执行人、重大税收违法案件当事人名单、政府采购严重违法失信行为记录名单的网页打印件,以采购公告发布之日后的查询结果为准</w:t>
      </w:r>
      <w:r>
        <w:rPr>
          <w:rFonts w:hint="eastAsia" w:ascii="宋体" w:hAnsi="宋体"/>
          <w:sz w:val="24"/>
          <w:szCs w:val="24"/>
          <w:lang w:eastAsia="zh-CN"/>
        </w:rPr>
        <w:t>。</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供应商应当对响应文件进行装订，对未经装订的响应文件可能发生的文件散落或缺损，由此产生的后果及责任由供应商自行承担。</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11.2 供应商应按照询价文件第五章“响应文件格式”提供的《投标函》、《报价一览表》、《法定代表人授权书》等格式、要求、规定来编制响应文件。</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11.3供应商应对响应文件中所提供资料的真实性负责，如有虚假，将依法承担相应责任。供应商应自觉接受采购代理机构对其中任何资料进一步核实的要求。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11.4因供应商响应文件填报的内容不详，或没有提供询价文件中所要求的全部资料及数据等，由此产生的后果及责任由供应商自行承担。</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11.5响应文件用纸应统一为A4规格（图纸除外）。</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szCs w:val="24"/>
        </w:rPr>
      </w:pPr>
      <w:r>
        <w:rPr>
          <w:rFonts w:hint="eastAsia" w:ascii="宋体" w:hAnsi="宋体"/>
          <w:sz w:val="24"/>
          <w:szCs w:val="24"/>
        </w:rPr>
        <w:t>11.6供应商应将响应文件编制装订成一册，分别逐页连续标注页码，建立目录索引。</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12. 投标保证金</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本项目不收取投标保证金。</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13. 响应有效期</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13.1响应有效期详见本章“询价采购须知前附表”中规定。响应文件中承诺的响应有效期应当不少于询价文件中载明的响应有效期。响应有效期不足的，按照无效投标处理。</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14. 响应文件的签署、密封和标记</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14.1响应文件共四份，纸质文件三份，电子文件一份。</w:t>
      </w:r>
      <w:r>
        <w:rPr>
          <w:rFonts w:hint="eastAsia" w:ascii="宋体" w:hAnsi="宋体"/>
          <w:color w:val="000000"/>
          <w:sz w:val="24"/>
          <w:szCs w:val="24"/>
        </w:rPr>
        <w:t>供应商须编制由本须知规定文件组成的纸质响应文件正本一份，副本二份。</w:t>
      </w:r>
      <w:r>
        <w:rPr>
          <w:rFonts w:hint="eastAsia" w:ascii="宋体" w:hAnsi="宋体" w:cs="仿宋_GB2312"/>
          <w:b/>
          <w:color w:val="000000"/>
          <w:sz w:val="24"/>
          <w:szCs w:val="24"/>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rPr>
        <w:t>电子文件一份用</w:t>
      </w:r>
      <w:r>
        <w:rPr>
          <w:rFonts w:hint="eastAsia" w:ascii="宋体" w:hAnsi="宋体" w:cs="Courier New"/>
          <w:b/>
          <w:bCs/>
          <w:color w:val="000000"/>
          <w:kern w:val="0"/>
          <w:sz w:val="24"/>
          <w:szCs w:val="24"/>
        </w:rPr>
        <w:t>U盘</w:t>
      </w:r>
      <w:r>
        <w:rPr>
          <w:rFonts w:hint="eastAsia" w:ascii="宋体" w:hAnsi="宋体" w:cs="Courier New"/>
          <w:color w:val="000000"/>
          <w:kern w:val="0"/>
          <w:sz w:val="24"/>
          <w:szCs w:val="24"/>
        </w:rPr>
        <w:t>拷贝纸质文件正本全部内容用单独信封封装，</w:t>
      </w:r>
      <w:r>
        <w:rPr>
          <w:rFonts w:hint="eastAsia" w:ascii="宋体" w:hAnsi="宋体" w:cs="仿宋_GB2312"/>
          <w:bCs/>
          <w:color w:val="000000"/>
          <w:sz w:val="24"/>
          <w:szCs w:val="24"/>
          <w:lang w:val="zh-CN"/>
        </w:rPr>
        <w:t>电子文件与纸质文件不一致则以纸质文件为准</w:t>
      </w:r>
      <w:r>
        <w:rPr>
          <w:rFonts w:hint="eastAsia" w:ascii="宋体" w:hAnsi="宋体" w:cs="Courier New"/>
          <w:bCs/>
          <w:color w:val="000000"/>
          <w:kern w:val="0"/>
          <w:sz w:val="24"/>
          <w:szCs w:val="24"/>
        </w:rPr>
        <w:t>。</w:t>
      </w:r>
      <w:r>
        <w:rPr>
          <w:rFonts w:hint="eastAsia" w:ascii="宋体" w:hAnsi="宋体" w:cs="仿宋_GB2312"/>
          <w:b/>
          <w:color w:val="000000"/>
          <w:sz w:val="24"/>
          <w:szCs w:val="24"/>
          <w:lang w:val="zh-CN"/>
        </w:rPr>
        <w:t>未按此规定响应的，其投标将被视为无效投标。</w:t>
      </w:r>
      <w:r>
        <w:rPr>
          <w:rFonts w:hint="eastAsia" w:ascii="宋体" w:hAnsi="宋体" w:cs="仿宋_GB2312"/>
          <w:b/>
          <w:color w:val="000000"/>
          <w:sz w:val="24"/>
          <w:szCs w:val="24"/>
        </w:rPr>
        <w:t xml:space="preserve"> </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14.2 响应文件的签署：</w:t>
      </w:r>
    </w:p>
    <w:p>
      <w:pPr>
        <w:pageBreakBefore w:val="0"/>
        <w:kinsoku/>
        <w:wordWrap/>
        <w:overflowPunct/>
        <w:topLinePunct w:val="0"/>
        <w:autoSpaceDE/>
        <w:autoSpaceDN/>
        <w:bidi w:val="0"/>
        <w:adjustRightInd/>
        <w:spacing w:line="360" w:lineRule="auto"/>
        <w:ind w:firstLine="480" w:firstLineChars="200"/>
        <w:textAlignment w:val="auto"/>
        <w:rPr>
          <w:rFonts w:hint="eastAsia"/>
          <w:color w:val="000000"/>
          <w:kern w:val="0"/>
          <w:sz w:val="24"/>
          <w:szCs w:val="24"/>
        </w:rPr>
      </w:pPr>
      <w:r>
        <w:rPr>
          <w:rFonts w:hint="eastAsia"/>
          <w:color w:val="000000"/>
          <w:kern w:val="0"/>
          <w:sz w:val="24"/>
          <w:szCs w:val="24"/>
        </w:rPr>
        <w:t>响应文件</w:t>
      </w:r>
      <w:r>
        <w:rPr>
          <w:rFonts w:hint="eastAsia"/>
          <w:b/>
          <w:bCs/>
          <w:color w:val="000000"/>
          <w:kern w:val="0"/>
          <w:sz w:val="24"/>
          <w:szCs w:val="24"/>
        </w:rPr>
        <w:t>封面</w:t>
      </w:r>
      <w:r>
        <w:rPr>
          <w:rFonts w:hint="eastAsia"/>
          <w:color w:val="000000"/>
          <w:kern w:val="0"/>
          <w:sz w:val="24"/>
          <w:szCs w:val="24"/>
        </w:rPr>
        <w:t>和</w:t>
      </w:r>
      <w:r>
        <w:rPr>
          <w:rFonts w:hint="eastAsia"/>
          <w:b/>
          <w:bCs/>
          <w:color w:val="000000"/>
          <w:kern w:val="0"/>
          <w:sz w:val="24"/>
          <w:szCs w:val="24"/>
        </w:rPr>
        <w:t>响应文件的总报价页</w:t>
      </w:r>
      <w:r>
        <w:rPr>
          <w:rFonts w:hint="eastAsia"/>
          <w:color w:val="000000"/>
          <w:kern w:val="0"/>
          <w:sz w:val="24"/>
          <w:szCs w:val="24"/>
        </w:rPr>
        <w:t>应加盖企业公章和法人代表</w:t>
      </w:r>
      <w:r>
        <w:rPr>
          <w:rFonts w:hint="eastAsia"/>
          <w:color w:val="000000"/>
          <w:kern w:val="0"/>
          <w:sz w:val="24"/>
          <w:szCs w:val="24"/>
          <w:lang w:eastAsia="zh-CN"/>
        </w:rPr>
        <w:t>（</w:t>
      </w:r>
      <w:r>
        <w:rPr>
          <w:rFonts w:hint="eastAsia"/>
          <w:color w:val="000000"/>
          <w:kern w:val="0"/>
          <w:sz w:val="24"/>
          <w:szCs w:val="24"/>
          <w:lang w:val="en-US" w:eastAsia="zh-CN"/>
        </w:rPr>
        <w:t>或其授权代表</w:t>
      </w:r>
      <w:r>
        <w:rPr>
          <w:rFonts w:hint="eastAsia"/>
          <w:color w:val="000000"/>
          <w:kern w:val="0"/>
          <w:sz w:val="24"/>
          <w:szCs w:val="24"/>
          <w:lang w:eastAsia="zh-CN"/>
        </w:rPr>
        <w:t>）</w:t>
      </w:r>
      <w:r>
        <w:rPr>
          <w:rFonts w:hint="eastAsia"/>
          <w:color w:val="000000"/>
          <w:kern w:val="0"/>
          <w:sz w:val="24"/>
          <w:szCs w:val="24"/>
        </w:rPr>
        <w:t>签章（或签字）。</w:t>
      </w:r>
    </w:p>
    <w:p>
      <w:pPr>
        <w:pageBreakBefore w:val="0"/>
        <w:kinsoku/>
        <w:wordWrap/>
        <w:overflowPunct/>
        <w:topLinePunct w:val="0"/>
        <w:autoSpaceDE/>
        <w:autoSpaceDN/>
        <w:bidi w:val="0"/>
        <w:adjustRightInd/>
        <w:spacing w:line="360" w:lineRule="auto"/>
        <w:ind w:firstLine="480" w:firstLineChars="200"/>
        <w:textAlignment w:val="auto"/>
        <w:rPr>
          <w:rFonts w:hint="eastAsia"/>
          <w:color w:val="000000"/>
          <w:kern w:val="0"/>
          <w:sz w:val="24"/>
          <w:szCs w:val="24"/>
        </w:rPr>
      </w:pPr>
      <w:r>
        <w:rPr>
          <w:rFonts w:hint="eastAsia"/>
          <w:color w:val="000000"/>
          <w:kern w:val="0"/>
          <w:sz w:val="24"/>
          <w:szCs w:val="24"/>
        </w:rPr>
        <w:t>响应文件正本全部页面须加盖企业公章。</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14.3 响应文件的密封、标记：</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6"/>
        <w:pageBreakBefore w:val="0"/>
        <w:kinsoku/>
        <w:wordWrap/>
        <w:overflowPunct/>
        <w:topLinePunct w:val="0"/>
        <w:autoSpaceDE/>
        <w:autoSpaceDN/>
        <w:bidi w:val="0"/>
        <w:adjustRightInd/>
        <w:spacing w:before="0" w:after="0" w:line="360" w:lineRule="auto"/>
        <w:textAlignment w:val="auto"/>
        <w:rPr>
          <w:rFonts w:ascii="宋体" w:hAnsi="宋体"/>
          <w:sz w:val="24"/>
          <w:szCs w:val="24"/>
        </w:rPr>
      </w:pPr>
      <w:r>
        <w:rPr>
          <w:rFonts w:ascii="宋体" w:hAnsi="宋体"/>
          <w:sz w:val="24"/>
          <w:szCs w:val="24"/>
        </w:rPr>
        <w:t xml:space="preserve">    15. 响应文件的提交</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15.1 供应商在提交响应文件时必须凭法人授权书等身份证明提交本询价文件规定的合格</w:t>
      </w:r>
      <w:r>
        <w:rPr>
          <w:rFonts w:hint="eastAsia" w:ascii="宋体" w:hAnsi="宋体" w:cs="Courier New"/>
          <w:b/>
          <w:color w:val="000000"/>
          <w:kern w:val="0"/>
          <w:sz w:val="24"/>
          <w:szCs w:val="24"/>
          <w:lang w:val="en-US" w:eastAsia="zh-CN"/>
        </w:rPr>
        <w:t>响应</w:t>
      </w:r>
      <w:r>
        <w:rPr>
          <w:rFonts w:hint="eastAsia" w:ascii="宋体" w:hAnsi="宋体" w:cs="Courier New"/>
          <w:b/>
          <w:color w:val="000000"/>
          <w:kern w:val="0"/>
          <w:sz w:val="24"/>
          <w:szCs w:val="24"/>
        </w:rPr>
        <w:t>文件</w:t>
      </w:r>
      <w:r>
        <w:rPr>
          <w:rFonts w:hint="eastAsia" w:ascii="宋体" w:hAnsi="宋体" w:cs="Courier New"/>
          <w:b/>
          <w:kern w:val="0"/>
          <w:sz w:val="24"/>
          <w:szCs w:val="24"/>
        </w:rPr>
        <w:t>供询价</w:t>
      </w:r>
      <w:r>
        <w:rPr>
          <w:rFonts w:hint="eastAsia" w:ascii="宋体" w:hAnsi="宋体" w:cs="Courier New"/>
          <w:b/>
          <w:color w:val="000000"/>
          <w:kern w:val="0"/>
          <w:sz w:val="24"/>
          <w:szCs w:val="24"/>
        </w:rPr>
        <w:t>小组审检，未提供或提供不符合要求的将失去投标资格。</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15.2 响应文件应于《询价采购须知前附表》规定的截止日期之前送达至《询价采购须知前附表》规定的地点。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15.3 采购人可以酌情延长投标截止期。在此情况下，采购人和供应商受投标截止期制约的所有权利和义务均应延长至新的截止日期。</w:t>
      </w:r>
    </w:p>
    <w:p>
      <w:pPr>
        <w:pageBreakBefore w:val="0"/>
        <w:kinsoku/>
        <w:wordWrap/>
        <w:overflowPunct/>
        <w:topLinePunct w:val="0"/>
        <w:autoSpaceDE/>
        <w:autoSpaceDN/>
        <w:bidi w:val="0"/>
        <w:adjustRightInd/>
        <w:spacing w:line="360" w:lineRule="auto"/>
        <w:ind w:firstLine="480" w:firstLineChars="200"/>
        <w:textAlignment w:val="auto"/>
        <w:rPr>
          <w:rFonts w:hint="eastAsia"/>
          <w:sz w:val="24"/>
          <w:szCs w:val="24"/>
        </w:rPr>
      </w:pPr>
      <w:r>
        <w:rPr>
          <w:rFonts w:hint="eastAsia" w:ascii="宋体" w:hAnsi="宋体" w:cs="Courier New"/>
          <w:kern w:val="0"/>
          <w:sz w:val="24"/>
          <w:szCs w:val="24"/>
        </w:rPr>
        <w:t>15.4采购代理机构将拒绝并退回在规定的截止期后收到的任何响应文件。</w:t>
      </w:r>
    </w:p>
    <w:p>
      <w:pPr>
        <w:pStyle w:val="6"/>
        <w:pageBreakBefore w:val="0"/>
        <w:kinsoku/>
        <w:wordWrap/>
        <w:overflowPunct/>
        <w:topLinePunct w:val="0"/>
        <w:autoSpaceDE/>
        <w:autoSpaceDN/>
        <w:bidi w:val="0"/>
        <w:adjustRightInd/>
        <w:spacing w:before="0" w:after="0" w:line="360" w:lineRule="auto"/>
        <w:ind w:firstLine="482" w:firstLineChars="200"/>
        <w:textAlignment w:val="auto"/>
        <w:rPr>
          <w:rFonts w:ascii="宋体" w:hAnsi="宋体"/>
          <w:sz w:val="24"/>
          <w:szCs w:val="24"/>
        </w:rPr>
      </w:pPr>
      <w:bookmarkStart w:id="11" w:name="_Toc32445_WPSOffice_Level2"/>
      <w:r>
        <w:rPr>
          <w:rFonts w:ascii="宋体" w:hAnsi="宋体"/>
          <w:sz w:val="24"/>
          <w:szCs w:val="24"/>
        </w:rPr>
        <w:t>四、 报价、询价、成交</w:t>
      </w:r>
      <w:bookmarkEnd w:id="11"/>
    </w:p>
    <w:p>
      <w:pPr>
        <w:pageBreakBefore w:val="0"/>
        <w:kinsoku/>
        <w:wordWrap/>
        <w:overflowPunct/>
        <w:topLinePunct w:val="0"/>
        <w:autoSpaceDE/>
        <w:autoSpaceDN/>
        <w:bidi w:val="0"/>
        <w:adjustRightInd/>
        <w:spacing w:line="360" w:lineRule="auto"/>
        <w:ind w:firstLine="472" w:firstLineChars="196"/>
        <w:textAlignment w:val="auto"/>
        <w:rPr>
          <w:rFonts w:hint="eastAsia"/>
          <w:sz w:val="24"/>
          <w:szCs w:val="24"/>
        </w:rPr>
      </w:pPr>
      <w:r>
        <w:rPr>
          <w:rFonts w:hint="eastAsia" w:ascii="宋体" w:hAnsi="宋体" w:cs="Courier New"/>
          <w:b/>
          <w:kern w:val="0"/>
          <w:sz w:val="24"/>
          <w:szCs w:val="24"/>
        </w:rPr>
        <w:t xml:space="preserve">16. </w:t>
      </w:r>
      <w:r>
        <w:rPr>
          <w:rFonts w:hint="eastAsia"/>
          <w:b/>
          <w:sz w:val="24"/>
          <w:szCs w:val="24"/>
        </w:rPr>
        <w:t>投标报价</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16.1供应商所提供的货物</w:t>
      </w:r>
      <w:r>
        <w:rPr>
          <w:rFonts w:hint="eastAsia" w:ascii="宋体" w:hAnsi="宋体"/>
          <w:sz w:val="24"/>
          <w:szCs w:val="24"/>
          <w:lang w:eastAsia="zh-CN"/>
        </w:rPr>
        <w:t>、</w:t>
      </w:r>
      <w:r>
        <w:rPr>
          <w:rFonts w:hint="eastAsia" w:ascii="宋体" w:hAnsi="宋体"/>
          <w:sz w:val="24"/>
          <w:szCs w:val="24"/>
          <w:lang w:val="en-US" w:eastAsia="zh-CN"/>
        </w:rPr>
        <w:t>工程或</w:t>
      </w:r>
      <w:r>
        <w:rPr>
          <w:rFonts w:hint="eastAsia" w:ascii="宋体" w:hAnsi="宋体"/>
          <w:sz w:val="24"/>
          <w:szCs w:val="24"/>
        </w:rPr>
        <w:t>服务均以人民币计价。除非合同中另有规定，投标总报价应包含货物</w:t>
      </w:r>
      <w:r>
        <w:rPr>
          <w:rFonts w:hint="eastAsia" w:ascii="宋体" w:hAnsi="宋体"/>
          <w:sz w:val="24"/>
          <w:szCs w:val="24"/>
          <w:lang w:eastAsia="zh-CN"/>
        </w:rPr>
        <w:t>、</w:t>
      </w:r>
      <w:r>
        <w:rPr>
          <w:rFonts w:hint="eastAsia" w:ascii="宋体" w:hAnsi="宋体"/>
          <w:sz w:val="24"/>
          <w:szCs w:val="24"/>
          <w:lang w:val="en-US" w:eastAsia="zh-CN"/>
        </w:rPr>
        <w:t>工程、</w:t>
      </w:r>
      <w:r>
        <w:rPr>
          <w:rFonts w:hint="eastAsia" w:ascii="宋体" w:hAnsi="宋体"/>
          <w:sz w:val="24"/>
          <w:szCs w:val="24"/>
        </w:rPr>
        <w:t>服务的生产、采购、分检、包装、保险、运输、检测、验收、技术支持、售后服务等环节发生的一切费用，以及合同实施过程中包含的所有风险的费用。</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16.2 供应商应按照“第三章 采购内容及技术要求”规定的货物</w:t>
      </w:r>
      <w:r>
        <w:rPr>
          <w:rFonts w:hint="eastAsia" w:ascii="宋体" w:hAnsi="宋体"/>
          <w:sz w:val="24"/>
          <w:szCs w:val="24"/>
          <w:lang w:eastAsia="zh-CN"/>
        </w:rPr>
        <w:t>、</w:t>
      </w:r>
      <w:r>
        <w:rPr>
          <w:rFonts w:hint="eastAsia" w:ascii="宋体" w:hAnsi="宋体"/>
          <w:sz w:val="24"/>
          <w:szCs w:val="24"/>
          <w:lang w:val="en-US" w:eastAsia="zh-CN"/>
        </w:rPr>
        <w:t>工程、</w:t>
      </w:r>
      <w:r>
        <w:rPr>
          <w:rFonts w:hint="eastAsia" w:ascii="宋体" w:hAnsi="宋体"/>
          <w:sz w:val="24"/>
          <w:szCs w:val="24"/>
        </w:rPr>
        <w:t>服务内容、责任范围以及合同条款进行报价，投标总价应为优惠后的最终报价。投标总价中不得包含询价采购文件要求以外的内容，否则，在评标时不予核减。</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16.3 供应商只能报出一个唯一报价，否则按照无效投标处理。</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16.5 对于采购文件未列明，而供应商认为必需的费用也需列入其投标总价。在合同实施时，采购人将不予支付供应商没有列入的项目费用，并认为此项目的费用已包括在其投标总价中。</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16.6 供应商应对项目采购范围内的全部内容进行报价，不得缺、漏项或只投其中的部分内容，否则按照无效投标处理。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kern w:val="0"/>
          <w:sz w:val="24"/>
          <w:szCs w:val="24"/>
        </w:rPr>
      </w:pPr>
      <w:r>
        <w:rPr>
          <w:rFonts w:hint="eastAsia" w:ascii="宋体" w:hAnsi="宋体" w:cs="Courier New"/>
          <w:b/>
          <w:kern w:val="0"/>
          <w:sz w:val="24"/>
          <w:szCs w:val="24"/>
        </w:rPr>
        <w:t>17. 无效询价与废标</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b/>
          <w:kern w:val="0"/>
          <w:sz w:val="24"/>
          <w:szCs w:val="24"/>
        </w:rPr>
      </w:pPr>
      <w:r>
        <w:rPr>
          <w:rFonts w:hint="eastAsia" w:ascii="宋体" w:hAnsi="宋体" w:cs="Courier New"/>
          <w:b/>
          <w:kern w:val="0"/>
          <w:sz w:val="24"/>
          <w:szCs w:val="24"/>
        </w:rPr>
        <w:t>17.1询价供应商发生以下条款情况之一者，视为无效询价，其响应文件将被拒绝：</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kern w:val="0"/>
          <w:sz w:val="24"/>
          <w:szCs w:val="24"/>
        </w:rPr>
      </w:pPr>
      <w:r>
        <w:rPr>
          <w:rFonts w:hint="eastAsia" w:ascii="宋体" w:hAnsi="宋体" w:cs="Courier New"/>
          <w:kern w:val="0"/>
          <w:sz w:val="24"/>
          <w:szCs w:val="24"/>
        </w:rPr>
        <w:t>17.1.1响应文件逾期送达的；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 xml:space="preserve">17.1.2响应文件不按规定的格式、内容填写或不按规定签字、盖章； </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17.1.3供应商无故不参加询价会议并未通知采购单位的；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17.1.4供应商的报价超出最高限价的；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17.1.5法律、行政法规规定的其他情况。</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kern w:val="0"/>
          <w:sz w:val="24"/>
          <w:szCs w:val="24"/>
        </w:rPr>
        <w:t>17.2响应文件属于下列情形之一的，询价小组有权将其作废标处理</w:t>
      </w:r>
      <w:r>
        <w:rPr>
          <w:rFonts w:hint="eastAsia" w:ascii="宋体" w:hAnsi="宋体" w:cs="Courier New"/>
          <w:b/>
          <w:color w:val="000000"/>
          <w:kern w:val="0"/>
          <w:sz w:val="24"/>
          <w:szCs w:val="24"/>
        </w:rPr>
        <w:t>，供应商给采购单位造成损失的，采购单位有索赔的权利。</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17.2.1提交的有关资格证明文件不真实，提供虚假报价材料的；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17.2.2询价会议开始后，供应商撤回响应文件，退出询价的；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17.2.3供应商串通报价的；</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kern w:val="0"/>
          <w:sz w:val="24"/>
          <w:szCs w:val="24"/>
        </w:rPr>
      </w:pPr>
      <w:r>
        <w:rPr>
          <w:rFonts w:hint="eastAsia" w:ascii="宋体" w:hAnsi="宋体" w:cs="Courier New"/>
          <w:color w:val="000000"/>
          <w:kern w:val="0"/>
          <w:sz w:val="24"/>
          <w:szCs w:val="24"/>
        </w:rPr>
        <w:t>17.2.4</w:t>
      </w:r>
      <w:r>
        <w:rPr>
          <w:rFonts w:ascii="宋体" w:hAnsi="宋体" w:cs="Courier New"/>
          <w:color w:val="000000"/>
          <w:kern w:val="0"/>
          <w:sz w:val="24"/>
          <w:szCs w:val="24"/>
        </w:rPr>
        <w:t>不同供应商的</w:t>
      </w:r>
      <w:r>
        <w:rPr>
          <w:rFonts w:hint="eastAsia" w:ascii="宋体" w:hAnsi="宋体" w:cs="Courier New"/>
          <w:color w:val="000000"/>
          <w:kern w:val="0"/>
          <w:sz w:val="24"/>
          <w:szCs w:val="24"/>
        </w:rPr>
        <w:t>询价响应文件</w:t>
      </w:r>
      <w:r>
        <w:rPr>
          <w:rFonts w:ascii="宋体" w:hAnsi="宋体" w:cs="Courier New"/>
          <w:color w:val="000000"/>
          <w:kern w:val="0"/>
          <w:sz w:val="24"/>
          <w:szCs w:val="24"/>
        </w:rPr>
        <w:t>两处以上（含两处）错、漏一致或雷同的；</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kern w:val="0"/>
          <w:sz w:val="24"/>
          <w:szCs w:val="24"/>
        </w:rPr>
      </w:pPr>
      <w:r>
        <w:rPr>
          <w:rFonts w:hint="eastAsia" w:ascii="宋体" w:hAnsi="宋体" w:cs="Courier New"/>
          <w:color w:val="000000"/>
          <w:kern w:val="0"/>
          <w:sz w:val="24"/>
          <w:szCs w:val="24"/>
        </w:rPr>
        <w:t>17.2.5</w:t>
      </w:r>
      <w:r>
        <w:rPr>
          <w:rFonts w:ascii="宋体" w:hAnsi="宋体" w:cs="Courier New"/>
          <w:color w:val="000000"/>
          <w:kern w:val="0"/>
          <w:sz w:val="24"/>
          <w:szCs w:val="24"/>
        </w:rPr>
        <w:t>不同供应商的</w:t>
      </w:r>
      <w:r>
        <w:rPr>
          <w:rFonts w:hint="eastAsia" w:ascii="宋体" w:hAnsi="宋体" w:cs="Courier New"/>
          <w:color w:val="000000"/>
          <w:kern w:val="0"/>
          <w:sz w:val="24"/>
          <w:szCs w:val="24"/>
        </w:rPr>
        <w:t>询价响应文件</w:t>
      </w:r>
      <w:r>
        <w:rPr>
          <w:rFonts w:ascii="宋体" w:hAnsi="宋体" w:cs="Courier New"/>
          <w:color w:val="000000"/>
          <w:kern w:val="0"/>
          <w:sz w:val="24"/>
          <w:szCs w:val="24"/>
        </w:rPr>
        <w:t>各项报价存在异常一致或者呈规律性变化的；</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kern w:val="0"/>
          <w:sz w:val="24"/>
          <w:szCs w:val="24"/>
        </w:rPr>
      </w:pPr>
      <w:r>
        <w:rPr>
          <w:rFonts w:hint="eastAsia" w:ascii="宋体" w:hAnsi="宋体" w:cs="Courier New"/>
          <w:color w:val="000000"/>
          <w:kern w:val="0"/>
          <w:sz w:val="24"/>
          <w:szCs w:val="24"/>
        </w:rPr>
        <w:t>17.2.6</w:t>
      </w:r>
      <w:r>
        <w:rPr>
          <w:rFonts w:ascii="宋体" w:hAnsi="宋体" w:cs="Courier New"/>
          <w:color w:val="000000"/>
          <w:kern w:val="0"/>
          <w:sz w:val="24"/>
          <w:szCs w:val="24"/>
        </w:rPr>
        <w:t>不同供应商的</w:t>
      </w:r>
      <w:r>
        <w:rPr>
          <w:rFonts w:hint="eastAsia" w:ascii="宋体" w:hAnsi="宋体" w:cs="Courier New"/>
          <w:color w:val="000000"/>
          <w:kern w:val="0"/>
          <w:sz w:val="24"/>
          <w:szCs w:val="24"/>
        </w:rPr>
        <w:t>询价响应文件</w:t>
      </w:r>
      <w:r>
        <w:rPr>
          <w:rFonts w:ascii="宋体" w:hAnsi="宋体" w:cs="Courier New"/>
          <w:color w:val="000000"/>
          <w:kern w:val="0"/>
          <w:sz w:val="24"/>
          <w:szCs w:val="24"/>
        </w:rPr>
        <w:t>由同一单位或者同一个人编制的；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17.2.7</w:t>
      </w:r>
      <w:r>
        <w:rPr>
          <w:rFonts w:ascii="宋体" w:hAnsi="宋体" w:cs="Courier New"/>
          <w:color w:val="000000"/>
          <w:kern w:val="0"/>
          <w:sz w:val="24"/>
          <w:szCs w:val="24"/>
        </w:rPr>
        <w:t>不同供应商的</w:t>
      </w:r>
      <w:r>
        <w:rPr>
          <w:rFonts w:hint="eastAsia" w:ascii="宋体" w:hAnsi="宋体" w:cs="Courier New"/>
          <w:color w:val="000000"/>
          <w:kern w:val="0"/>
          <w:sz w:val="24"/>
          <w:szCs w:val="24"/>
        </w:rPr>
        <w:t>询价响应文件</w:t>
      </w:r>
      <w:r>
        <w:rPr>
          <w:rFonts w:ascii="宋体" w:hAnsi="宋体" w:cs="Courier New"/>
          <w:color w:val="000000"/>
          <w:kern w:val="0"/>
          <w:sz w:val="24"/>
          <w:szCs w:val="24"/>
        </w:rPr>
        <w:t>中投标资料相互混装或项目班子成员出现同一人的；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17.2.8供应商向采购单位、专家提供不正当利益的；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17.2.9成交供应商不按规定签订合同的；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17.2.10法律、行政法规规定的其他情况。</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18. 询价小组的组成</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采购单位根据本项目的特点组成</w:t>
      </w:r>
      <w:r>
        <w:rPr>
          <w:rFonts w:hint="eastAsia" w:ascii="宋体" w:hAnsi="宋体" w:cs="Courier New"/>
          <w:b/>
          <w:bCs/>
          <w:color w:val="000000"/>
          <w:kern w:val="0"/>
          <w:sz w:val="24"/>
          <w:szCs w:val="24"/>
        </w:rPr>
        <w:t>询价小组</w:t>
      </w:r>
      <w:r>
        <w:rPr>
          <w:rFonts w:hint="eastAsia" w:ascii="宋体" w:hAnsi="宋体" w:cs="Courier New"/>
          <w:color w:val="000000"/>
          <w:kern w:val="0"/>
          <w:sz w:val="24"/>
          <w:szCs w:val="24"/>
        </w:rPr>
        <w:t>，其成员由</w:t>
      </w:r>
      <w:r>
        <w:rPr>
          <w:rFonts w:hint="eastAsia" w:ascii="宋体" w:hAnsi="宋体" w:cs="Courier New"/>
          <w:kern w:val="0"/>
          <w:sz w:val="24"/>
          <w:szCs w:val="24"/>
        </w:rPr>
        <w:t>采购单位代表、</w:t>
      </w:r>
      <w:r>
        <w:rPr>
          <w:rFonts w:hint="eastAsia" w:ascii="宋体" w:hAnsi="宋体" w:cs="Courier New"/>
          <w:color w:val="000000"/>
          <w:kern w:val="0"/>
          <w:sz w:val="24"/>
          <w:szCs w:val="24"/>
        </w:rPr>
        <w:t>仙桃市专业专家</w:t>
      </w:r>
      <w:r>
        <w:rPr>
          <w:rFonts w:hint="eastAsia" w:ascii="宋体" w:hAnsi="宋体" w:cs="Courier New"/>
          <w:b/>
          <w:bCs/>
          <w:kern w:val="0"/>
          <w:sz w:val="24"/>
          <w:szCs w:val="24"/>
        </w:rPr>
        <w:t>共</w:t>
      </w:r>
      <w:r>
        <w:rPr>
          <w:rFonts w:hint="eastAsia" w:ascii="宋体" w:hAnsi="宋体" w:cs="Courier New"/>
          <w:b/>
          <w:bCs/>
          <w:color w:val="000000"/>
          <w:kern w:val="0"/>
          <w:sz w:val="24"/>
          <w:szCs w:val="24"/>
        </w:rPr>
        <w:t>3人组成</w:t>
      </w:r>
      <w:r>
        <w:rPr>
          <w:rFonts w:hint="eastAsia" w:ascii="宋体" w:hAnsi="宋体" w:cs="Courier New"/>
          <w:color w:val="000000"/>
          <w:kern w:val="0"/>
          <w:sz w:val="24"/>
          <w:szCs w:val="24"/>
        </w:rPr>
        <w:t>，询价小组负责对响应文件进行综合评审，评选推荐成交供应商。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19. 询价程序</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color w:val="000000"/>
          <w:kern w:val="0"/>
          <w:sz w:val="24"/>
          <w:szCs w:val="24"/>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rPr>
        <w:cr/>
      </w:r>
      <w:r>
        <w:rPr>
          <w:rFonts w:hint="eastAsia" w:ascii="宋体" w:hAnsi="宋体" w:cs="Courier New"/>
          <w:color w:val="000000"/>
          <w:kern w:val="0"/>
          <w:sz w:val="24"/>
          <w:szCs w:val="24"/>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rPr>
        <w:cr/>
      </w:r>
      <w:r>
        <w:rPr>
          <w:rFonts w:hint="eastAsia" w:ascii="宋体" w:hAnsi="宋体" w:cs="Courier New"/>
          <w:color w:val="000000"/>
          <w:kern w:val="0"/>
          <w:sz w:val="24"/>
          <w:szCs w:val="24"/>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rPr>
        <w:cr/>
      </w:r>
      <w:r>
        <w:rPr>
          <w:rFonts w:hint="eastAsia" w:ascii="宋体" w:hAnsi="宋体" w:cs="Courier New"/>
          <w:color w:val="000000"/>
          <w:kern w:val="0"/>
          <w:sz w:val="24"/>
          <w:szCs w:val="24"/>
        </w:rPr>
        <w:t xml:space="preserve">    </w:t>
      </w:r>
      <w:r>
        <w:rPr>
          <w:rFonts w:hint="eastAsia" w:ascii="宋体" w:hAnsi="宋体" w:cs="Courier New"/>
          <w:b/>
          <w:bCs/>
          <w:color w:val="000000"/>
          <w:kern w:val="0"/>
          <w:sz w:val="24"/>
          <w:szCs w:val="24"/>
        </w:rPr>
        <w:t>20、</w:t>
      </w:r>
      <w:r>
        <w:rPr>
          <w:rFonts w:hint="eastAsia" w:ascii="宋体" w:hAnsi="宋体" w:cs="Courier New"/>
          <w:b/>
          <w:color w:val="000000"/>
          <w:kern w:val="0"/>
          <w:sz w:val="24"/>
          <w:szCs w:val="24"/>
        </w:rPr>
        <w:t>确定中标人</w:t>
      </w:r>
      <w:r>
        <w:rPr>
          <w:rFonts w:hint="eastAsia" w:ascii="宋体" w:hAnsi="宋体" w:cs="Courier New"/>
          <w:b/>
          <w:color w:val="000000"/>
          <w:kern w:val="0"/>
          <w:sz w:val="24"/>
          <w:szCs w:val="24"/>
        </w:rPr>
        <w:cr/>
      </w:r>
      <w:r>
        <w:rPr>
          <w:rFonts w:hint="eastAsia" w:ascii="宋体" w:hAnsi="宋体" w:cs="Courier New"/>
          <w:b/>
          <w:color w:val="000000"/>
          <w:kern w:val="0"/>
          <w:sz w:val="24"/>
          <w:szCs w:val="24"/>
        </w:rPr>
        <w:t xml:space="preserve">    </w:t>
      </w:r>
      <w:r>
        <w:rPr>
          <w:rFonts w:hint="eastAsia" w:ascii="宋体" w:hAnsi="宋体" w:cs="Courier New"/>
          <w:kern w:val="0"/>
          <w:sz w:val="24"/>
          <w:szCs w:val="24"/>
        </w:rPr>
        <w:t>20.1 采购人收到评审报告5个工作日内，按评审报告推荐的中标候选人顺序确定中标人。</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20.2  中标候选人并列的：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20.2.1 采用最低评标价法的，评标结果按投标报价由低到高顺序排列。投标报价相同的并列，由采购人确定或者采购人委托询价小组以投票方式确定中标人。</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20.3 中标人的数量有其他规定的，按采购文件相关规定执行。</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20.4 中标人确定后，采购代理机构在政府采购监管部门指定的媒体上发布成交公告，同时向中标人和采购人发出《成交通知书》。《成交通知书》是政府采购合同的组成部分,对中标人和采购人具有同等法律效力。</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20.5 成交通知书发出后，采购人不得违法改变成交结果，中标人无正当理由不得放弃中标。</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20.6 中标人拒绝与采购人签订合同的，采购人可以按照评审报告推荐的中标候选人名单排序，确定下一候选人为中标人，也可以重新开展政府采购活动。</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r>
        <w:rPr>
          <w:rFonts w:hint="eastAsia" w:ascii="宋体" w:hAnsi="宋体" w:cs="Courier New"/>
          <w:b/>
          <w:bCs/>
          <w:kern w:val="0"/>
          <w:sz w:val="24"/>
          <w:szCs w:val="24"/>
        </w:rPr>
        <w:t>21 合同授予</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除本章第20.6项规定及其他法律规定的情形外，采购人把合同授予被确定为实质上响应询价采购文件要求且排名第一的中标人。</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kern w:val="0"/>
          <w:sz w:val="24"/>
          <w:szCs w:val="24"/>
        </w:rPr>
      </w:pPr>
      <w:r>
        <w:rPr>
          <w:rFonts w:hint="eastAsia" w:ascii="宋体" w:hAnsi="宋体" w:cs="Courier New"/>
          <w:b/>
          <w:bCs/>
          <w:kern w:val="0"/>
          <w:sz w:val="24"/>
          <w:szCs w:val="24"/>
        </w:rPr>
        <w:t>22合同签订</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bookmarkStart w:id="12" w:name="_Toc278891597"/>
      <w:bookmarkStart w:id="13" w:name="_Toc272247700"/>
      <w:r>
        <w:rPr>
          <w:rFonts w:hint="eastAsia" w:ascii="宋体" w:hAnsi="宋体" w:cs="Courier New"/>
          <w:kern w:val="0"/>
          <w:sz w:val="24"/>
          <w:szCs w:val="24"/>
        </w:rPr>
        <w:t>22.1 采购人应当自成交通知书发出之日起30日内，按照询价采购文件规定和中标人响应文件的承诺，与中标人签订书面合同。所签订的合同不得对询价采购文件确定的事项和中标人响应文件作实质性修改。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22.2 采购人不得向中标人提出任何不合理的要求作为签订合同的条件。</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22.3 政府采购合同应当包括采购人与中标人的名称和住所、标的、数量、质量、价款或者报酬、履行期限及地点和方式、验收要求、违约责任、解决争议的方法等内容。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lang w:val="en-US" w:eastAsia="zh-CN"/>
        </w:rPr>
        <w:t>民法典</w:t>
      </w:r>
      <w:r>
        <w:rPr>
          <w:rFonts w:hint="eastAsia" w:ascii="宋体" w:hAnsi="宋体" w:cs="Courier New"/>
          <w:kern w:val="0"/>
          <w:sz w:val="24"/>
          <w:szCs w:val="24"/>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22.5 采购人应当自政府采购合同签订之日起2个工作日内，将政府采购合同在省级以上人民政府财政部门指定的媒体上公告，但政府采购合同中涉及国家秘密、商业秘密的内容除外。</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22.6 采购人应当加强对中标人的履约管理，并按照采购合同约定，及时向中标人支付采购资金。对于中标人违反采购合同约定的行为，采购人应当及时处理，依法追究其违约责任。</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bookmarkStart w:id="14" w:name="_Toc29029_WPSOffice_Level2"/>
      <w:bookmarkStart w:id="15" w:name="_Toc20835"/>
      <w:bookmarkStart w:id="16" w:name="_Toc494561945"/>
      <w:r>
        <w:rPr>
          <w:rFonts w:hint="eastAsia" w:ascii="宋体" w:hAnsi="宋体" w:cs="Courier New"/>
          <w:b/>
          <w:bCs/>
          <w:kern w:val="0"/>
          <w:sz w:val="24"/>
          <w:szCs w:val="24"/>
        </w:rPr>
        <w:t>五、供应商信用信息及查询</w:t>
      </w:r>
      <w:bookmarkEnd w:id="14"/>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23、信用信息查询渠道及使用规则</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23.1 按照《关于在政府采购活动中查询及使用信用记录有关问题的通知》的要求，参与政府采购的供应商，信用记录的查询渠道为“信用中国”网站(www.creditchina.gov.cn)、中国政府采购网(</w:t>
      </w:r>
      <w:r>
        <w:rPr>
          <w:rFonts w:hint="eastAsia" w:ascii="宋体" w:hAnsi="宋体" w:cs="Courier New"/>
          <w:kern w:val="0"/>
          <w:sz w:val="24"/>
          <w:szCs w:val="24"/>
        </w:rPr>
        <w:fldChar w:fldCharType="begin"/>
      </w:r>
      <w:r>
        <w:rPr>
          <w:rFonts w:hint="eastAsia" w:ascii="宋体" w:hAnsi="宋体" w:cs="Courier New"/>
          <w:kern w:val="0"/>
          <w:sz w:val="24"/>
          <w:szCs w:val="24"/>
        </w:rPr>
        <w:instrText xml:space="preserve"> HYPERLINK "http://www.ccgp.gov.cn" </w:instrText>
      </w:r>
      <w:r>
        <w:rPr>
          <w:rFonts w:hint="eastAsia" w:ascii="宋体" w:hAnsi="宋体" w:cs="Courier New"/>
          <w:kern w:val="0"/>
          <w:sz w:val="24"/>
          <w:szCs w:val="24"/>
        </w:rPr>
        <w:fldChar w:fldCharType="separate"/>
      </w:r>
      <w:r>
        <w:rPr>
          <w:rFonts w:hint="eastAsia" w:ascii="宋体" w:hAnsi="宋体" w:cs="Courier New"/>
          <w:kern w:val="0"/>
          <w:sz w:val="24"/>
          <w:szCs w:val="24"/>
        </w:rPr>
        <w:t>www.ccgp.gov.cn</w:t>
      </w:r>
      <w:r>
        <w:rPr>
          <w:rFonts w:hint="eastAsia" w:ascii="宋体" w:hAnsi="宋体" w:cs="Courier New"/>
          <w:kern w:val="0"/>
          <w:sz w:val="24"/>
          <w:szCs w:val="24"/>
        </w:rPr>
        <w:fldChar w:fldCharType="end"/>
      </w:r>
      <w:r>
        <w:rPr>
          <w:rFonts w:hint="eastAsia" w:ascii="宋体" w:hAnsi="宋体" w:cs="Courier New"/>
          <w:kern w:val="0"/>
          <w:sz w:val="24"/>
          <w:szCs w:val="24"/>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23.2 列入失信被执行人、重大税收违法案件当事人名单、政府采购严重违法失信行为记录名单的供应商，采购代理机构拒绝其参与政府采购活动。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23.4 供应商的信用记录，最终以评标时的“信用中国”网站发布的信息为准。</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b/>
          <w:bCs/>
          <w:kern w:val="0"/>
          <w:sz w:val="24"/>
          <w:szCs w:val="24"/>
        </w:rPr>
      </w:pPr>
      <w:r>
        <w:rPr>
          <w:rFonts w:hint="eastAsia" w:ascii="宋体" w:hAnsi="宋体" w:cs="Courier New"/>
          <w:kern w:val="0"/>
          <w:sz w:val="24"/>
          <w:szCs w:val="24"/>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bookmarkStart w:id="17" w:name="_Toc31778_WPSOffice_Level2"/>
      <w:r>
        <w:rPr>
          <w:rFonts w:hint="eastAsia" w:ascii="宋体" w:hAnsi="宋体" w:cs="Courier New"/>
          <w:b/>
          <w:bCs/>
          <w:kern w:val="0"/>
          <w:sz w:val="24"/>
          <w:szCs w:val="24"/>
        </w:rPr>
        <w:t>六、采购信息公告</w:t>
      </w:r>
      <w:bookmarkEnd w:id="15"/>
      <w:bookmarkEnd w:id="16"/>
      <w:bookmarkEnd w:id="17"/>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24  公告的媒体及规定</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24.1采购代理机构在采购活动中的公告、补充、更正、结果等采购信息均依法在</w:t>
      </w:r>
      <w:r>
        <w:rPr>
          <w:rFonts w:hint="eastAsia" w:ascii="宋体" w:hAnsi="宋体" w:cs="Courier New"/>
          <w:kern w:val="0"/>
          <w:sz w:val="24"/>
          <w:szCs w:val="24"/>
          <w:lang w:val="en-US" w:eastAsia="zh-CN"/>
        </w:rPr>
        <w:t>指定媒体上</w:t>
      </w:r>
      <w:r>
        <w:rPr>
          <w:rFonts w:hint="eastAsia" w:ascii="宋体" w:hAnsi="宋体" w:cs="Courier New"/>
          <w:kern w:val="0"/>
          <w:sz w:val="24"/>
          <w:szCs w:val="24"/>
        </w:rPr>
        <w:t>发布。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24.2 采购代理机构在自中标人确定之日起2个工作日内，在</w:t>
      </w:r>
      <w:r>
        <w:rPr>
          <w:rFonts w:hint="eastAsia" w:ascii="宋体" w:hAnsi="宋体" w:cs="Courier New"/>
          <w:kern w:val="0"/>
          <w:sz w:val="24"/>
          <w:szCs w:val="24"/>
          <w:lang w:val="en-US" w:eastAsia="zh-CN"/>
        </w:rPr>
        <w:t>指定媒体</w:t>
      </w:r>
      <w:r>
        <w:rPr>
          <w:rFonts w:hint="eastAsia" w:ascii="宋体" w:hAnsi="宋体" w:cs="Courier New"/>
          <w:kern w:val="0"/>
          <w:sz w:val="24"/>
          <w:szCs w:val="24"/>
        </w:rPr>
        <w:t>上公告中标结果，成交公告的公示期为1个工作日。</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24.3 资格审查未通过的供应商可在结果公告质疑有效期内按公告中的联系方式获知本单位的资格审查情况。</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24.4 采用综合评分法评审的项目，未中标人可在结果公告质疑有效期内按公告中的联系方式获知本单位的评审得分与排序。</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bookmarkStart w:id="18" w:name="_Toc2750"/>
      <w:bookmarkStart w:id="19" w:name="_Toc494561946"/>
      <w:bookmarkStart w:id="20" w:name="_Toc13693_WPSOffice_Level2"/>
      <w:r>
        <w:rPr>
          <w:rFonts w:hint="eastAsia" w:ascii="宋体" w:hAnsi="宋体" w:cs="Courier New"/>
          <w:b/>
          <w:bCs/>
          <w:kern w:val="0"/>
          <w:sz w:val="24"/>
          <w:szCs w:val="24"/>
        </w:rPr>
        <w:t>七、质疑</w:t>
      </w:r>
      <w:bookmarkEnd w:id="12"/>
      <w:bookmarkEnd w:id="13"/>
      <w:r>
        <w:rPr>
          <w:rFonts w:hint="eastAsia" w:ascii="宋体" w:hAnsi="宋体" w:cs="Courier New"/>
          <w:b/>
          <w:bCs/>
          <w:kern w:val="0"/>
          <w:sz w:val="24"/>
          <w:szCs w:val="24"/>
        </w:rPr>
        <w:t>及提交</w:t>
      </w:r>
      <w:bookmarkEnd w:id="18"/>
      <w:bookmarkEnd w:id="19"/>
      <w:bookmarkEnd w:id="20"/>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r>
        <w:rPr>
          <w:rFonts w:hint="eastAsia" w:ascii="宋体" w:hAnsi="宋体" w:cs="Courier New"/>
          <w:b/>
          <w:bCs/>
          <w:kern w:val="0"/>
          <w:sz w:val="24"/>
          <w:szCs w:val="24"/>
        </w:rPr>
        <w:t>25  质疑提交</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26  供应商应知其权益受到损害之日是指：</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26.1 对可以质疑的采购文件提出质疑的，为收到采购文件之日或者询价采购文件公告期限届满之日；</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26.2 对采购过程提出质疑的，为各采购程序环节结束之日；</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26.3 对成交结果提出质疑的，为成交公告期限届满之日。</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  质疑书应当包括下列主要内容：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27.1 质疑人的名称、地址、联系人及联系电话等；</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27.2 被质疑人的名称、地址、联系人及联系电话等；</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27.3 质疑项目名称及编号、质疑事项和明确的请求；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27.4 质疑事项的事实根据、法律依据及其他必要的证明材料；</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27.5 提出质疑的日期；</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27.6 质疑人的署名及签章（质疑人为自然人的，应当由本人签字；质疑人为法人或者其他组织的，应当由法定代表人或者主要负责人签字盖章并加盖公章）；</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27.7 法人授权委托书（质疑人或法人委托代理人办理质疑事务的，应当提供授权委托书，授权委托书应当载明委托代理的具体权限和事项）。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b/>
          <w:bCs/>
          <w:kern w:val="0"/>
          <w:sz w:val="24"/>
          <w:szCs w:val="24"/>
        </w:rPr>
      </w:pPr>
      <w:r>
        <w:rPr>
          <w:rFonts w:hint="eastAsia" w:ascii="宋体" w:hAnsi="宋体" w:cs="Courier New"/>
          <w:kern w:val="0"/>
          <w:sz w:val="24"/>
          <w:szCs w:val="24"/>
        </w:rPr>
        <w:t>28  不予受理的情形</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供应商未按本章“质疑及提交”规定的时限、内容及方式进行质疑的，采购代理机构不予受理。</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b/>
          <w:bCs/>
          <w:kern w:val="0"/>
          <w:sz w:val="24"/>
          <w:szCs w:val="24"/>
        </w:rPr>
      </w:pPr>
      <w:bookmarkStart w:id="21" w:name="_Toc14245_WPSOffice_Level2"/>
      <w:bookmarkStart w:id="22" w:name="_Toc28653"/>
      <w:bookmarkStart w:id="23" w:name="_Toc494561947"/>
      <w:r>
        <w:rPr>
          <w:rFonts w:hint="eastAsia" w:ascii="宋体" w:hAnsi="宋体" w:cs="Courier New"/>
          <w:b/>
          <w:bCs/>
          <w:kern w:val="0"/>
          <w:sz w:val="24"/>
          <w:szCs w:val="24"/>
        </w:rPr>
        <w:t>八、相关条文解读</w:t>
      </w:r>
      <w:bookmarkEnd w:id="21"/>
      <w:bookmarkEnd w:id="22"/>
      <w:bookmarkEnd w:id="23"/>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29  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30  按照财政部《关于规范政府采购行政处罚有关问题的通知》的规定，各级人民政府财政部门依法对参加政府采购活动的供应商作出的禁止参加政府采购活动等行政处罚决定在全国范围内生效。</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31  供应商在参加政府采购活动前3年内因违法经营被禁止在一定期限内参加政府采购活动，期限届满的，可以参加政府采购活动。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32  根据财政部《政府采购法实施条例》释义中关于供应商资格条件的解释，对于银行、保险、石油石化、电力、电信等有行业特殊情况的，采购人和采购代理机构允许其分支机构参与投标。</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Courier New"/>
          <w:kern w:val="0"/>
          <w:sz w:val="24"/>
          <w:szCs w:val="24"/>
        </w:rPr>
      </w:pPr>
      <w:bookmarkStart w:id="24" w:name="_Toc13743_WPSOffice_Level2"/>
      <w:bookmarkStart w:id="25" w:name="_Toc494561948"/>
      <w:bookmarkStart w:id="26" w:name="_Toc32656"/>
      <w:r>
        <w:rPr>
          <w:rFonts w:hint="eastAsia" w:ascii="宋体" w:hAnsi="宋体" w:cs="Courier New"/>
          <w:b/>
          <w:bCs/>
          <w:kern w:val="0"/>
          <w:sz w:val="24"/>
          <w:szCs w:val="24"/>
        </w:rPr>
        <w:t>九、其他注意事项</w:t>
      </w:r>
      <w:bookmarkEnd w:id="24"/>
      <w:bookmarkEnd w:id="25"/>
      <w:bookmarkEnd w:id="26"/>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rPr>
        <w:t>33  单位负责人为同一人或者存在直接控股、管理关系的不同供应商，不得参加同一合同项下的政府采购活动。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Courier New"/>
          <w:b/>
          <w:bCs/>
          <w:kern w:val="0"/>
          <w:sz w:val="24"/>
          <w:szCs w:val="24"/>
        </w:rPr>
      </w:pPr>
      <w:r>
        <w:rPr>
          <w:rFonts w:hint="eastAsia" w:ascii="宋体" w:hAnsi="宋体" w:cs="Courier New"/>
          <w:kern w:val="0"/>
          <w:sz w:val="24"/>
          <w:szCs w:val="24"/>
        </w:rPr>
        <w:t>34  除单一来源采购项目外，为采购项目提供整体设计、规范编制或者项目管理、监理、检测等服务的供应商，不得再参加该采购项目的其他采购活动。</w:t>
      </w:r>
      <w:bookmarkStart w:id="27" w:name="_Toc31303"/>
      <w:bookmarkStart w:id="28" w:name="_Toc272247701"/>
      <w:bookmarkStart w:id="29" w:name="_Toc494561949"/>
      <w:bookmarkStart w:id="30" w:name="_Toc278891598"/>
    </w:p>
    <w:bookmarkEnd w:id="27"/>
    <w:bookmarkEnd w:id="28"/>
    <w:bookmarkEnd w:id="29"/>
    <w:bookmarkEnd w:id="30"/>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b/>
          <w:bCs/>
          <w:kern w:val="0"/>
          <w:sz w:val="24"/>
          <w:szCs w:val="24"/>
        </w:rPr>
      </w:pPr>
      <w:bookmarkStart w:id="31" w:name="_Toc7892_WPSOffice_Level2"/>
      <w:r>
        <w:rPr>
          <w:rFonts w:hint="eastAsia" w:ascii="宋体" w:hAnsi="宋体" w:cs="Courier New"/>
          <w:b/>
          <w:bCs/>
          <w:kern w:val="0"/>
          <w:sz w:val="24"/>
          <w:szCs w:val="24"/>
        </w:rPr>
        <w:t>十、</w:t>
      </w:r>
      <w:bookmarkEnd w:id="31"/>
      <w:bookmarkStart w:id="32" w:name="_Toc28597_WPSOffice_Level2"/>
      <w:r>
        <w:rPr>
          <w:rFonts w:hint="eastAsia" w:ascii="宋体" w:hAnsi="宋体" w:cs="Courier New"/>
          <w:b/>
          <w:bCs/>
          <w:kern w:val="0"/>
          <w:sz w:val="24"/>
          <w:szCs w:val="24"/>
        </w:rPr>
        <w:t>相同品牌处理原则</w:t>
      </w:r>
      <w:bookmarkEnd w:id="32"/>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kern w:val="0"/>
          <w:sz w:val="24"/>
          <w:szCs w:val="24"/>
        </w:rPr>
      </w:pPr>
      <w:r>
        <w:rPr>
          <w:rFonts w:hint="eastAsia" w:ascii="宋体" w:hAnsi="宋体" w:cs="Courier New"/>
          <w:b/>
          <w:bCs/>
          <w:kern w:val="0"/>
          <w:sz w:val="24"/>
          <w:szCs w:val="24"/>
        </w:rPr>
        <w:t>35</w:t>
      </w:r>
      <w:r>
        <w:rPr>
          <w:rFonts w:hint="eastAsia" w:ascii="宋体" w:hAnsi="宋体" w:cs="Courier New"/>
          <w:b/>
          <w:bCs/>
          <w:kern w:val="0"/>
          <w:sz w:val="24"/>
          <w:szCs w:val="24"/>
          <w:lang w:val="en-US" w:eastAsia="zh-CN"/>
        </w:rPr>
        <w:t xml:space="preserve"> </w:t>
      </w:r>
      <w:r>
        <w:rPr>
          <w:rFonts w:ascii="宋体" w:hAnsi="宋体" w:cs="Courier New"/>
          <w:kern w:val="0"/>
          <w:sz w:val="24"/>
          <w:szCs w:val="24"/>
        </w:rPr>
        <w:t>采用最低评标价法的采购项目，提供相同品牌产品的不同</w:t>
      </w:r>
      <w:r>
        <w:rPr>
          <w:rFonts w:hint="eastAsia" w:ascii="宋体" w:hAnsi="宋体" w:cs="Courier New"/>
          <w:kern w:val="0"/>
          <w:sz w:val="24"/>
          <w:szCs w:val="24"/>
        </w:rPr>
        <w:t>供应商</w:t>
      </w:r>
      <w:r>
        <w:rPr>
          <w:rFonts w:ascii="宋体" w:hAnsi="宋体" w:cs="Courier New"/>
          <w:kern w:val="0"/>
          <w:sz w:val="24"/>
          <w:szCs w:val="24"/>
        </w:rPr>
        <w:t>参加同一合同项下投标的，以其中通过资格审查、符合性审查且报价最低的参加评标；报价相同的，由采购人或者采购人委托评标委员会按照招标文件规定的方式确定一个参加评标的</w:t>
      </w:r>
      <w:r>
        <w:rPr>
          <w:rFonts w:hint="eastAsia" w:ascii="宋体" w:hAnsi="宋体" w:cs="Courier New"/>
          <w:kern w:val="0"/>
          <w:sz w:val="24"/>
          <w:szCs w:val="24"/>
        </w:rPr>
        <w:t>供应商</w:t>
      </w:r>
      <w:r>
        <w:rPr>
          <w:rFonts w:ascii="宋体" w:hAnsi="宋体" w:cs="Courier New"/>
          <w:kern w:val="0"/>
          <w:sz w:val="24"/>
          <w:szCs w:val="24"/>
        </w:rPr>
        <w:t>，招标文件未规定的采取随机抽取方式确定，其他投标无效。</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kern w:val="0"/>
          <w:sz w:val="24"/>
          <w:szCs w:val="24"/>
        </w:rPr>
      </w:pPr>
      <w:r>
        <w:rPr>
          <w:rFonts w:hint="eastAsia" w:ascii="宋体" w:hAnsi="宋体" w:cs="Courier New"/>
          <w:b/>
          <w:bCs/>
          <w:kern w:val="0"/>
          <w:sz w:val="24"/>
          <w:szCs w:val="24"/>
        </w:rPr>
        <w:t>36</w:t>
      </w:r>
      <w:r>
        <w:rPr>
          <w:rFonts w:ascii="宋体" w:hAnsi="宋体" w:cs="Courier New"/>
          <w:kern w:val="0"/>
          <w:sz w:val="24"/>
          <w:szCs w:val="24"/>
        </w:rPr>
        <w:t>　使用综合评分法的采购项目，提供相同品牌产品且通过资格审查、符合性审查的不同</w:t>
      </w:r>
      <w:r>
        <w:rPr>
          <w:rFonts w:hint="eastAsia" w:ascii="宋体" w:hAnsi="宋体" w:cs="Courier New"/>
          <w:kern w:val="0"/>
          <w:sz w:val="24"/>
          <w:szCs w:val="24"/>
        </w:rPr>
        <w:t>供应商</w:t>
      </w:r>
      <w:r>
        <w:rPr>
          <w:rFonts w:ascii="宋体" w:hAnsi="宋体" w:cs="Courier New"/>
          <w:kern w:val="0"/>
          <w:sz w:val="24"/>
          <w:szCs w:val="24"/>
        </w:rPr>
        <w:t>参加同一合同项下投标的，按一家</w:t>
      </w:r>
      <w:r>
        <w:rPr>
          <w:rFonts w:hint="eastAsia" w:ascii="宋体" w:hAnsi="宋体" w:cs="Courier New"/>
          <w:kern w:val="0"/>
          <w:sz w:val="24"/>
          <w:szCs w:val="24"/>
        </w:rPr>
        <w:t>供应商</w:t>
      </w:r>
      <w:r>
        <w:rPr>
          <w:rFonts w:ascii="宋体" w:hAnsi="宋体" w:cs="Courier New"/>
          <w:kern w:val="0"/>
          <w:sz w:val="24"/>
          <w:szCs w:val="24"/>
        </w:rPr>
        <w:t>计算，评审后得分最高的同品牌</w:t>
      </w:r>
      <w:r>
        <w:rPr>
          <w:rFonts w:hint="eastAsia" w:ascii="宋体" w:hAnsi="宋体" w:cs="Courier New"/>
          <w:kern w:val="0"/>
          <w:sz w:val="24"/>
          <w:szCs w:val="24"/>
        </w:rPr>
        <w:t>供应商</w:t>
      </w:r>
      <w:r>
        <w:rPr>
          <w:rFonts w:ascii="宋体" w:hAnsi="宋体" w:cs="Courier New"/>
          <w:kern w:val="0"/>
          <w:sz w:val="24"/>
          <w:szCs w:val="24"/>
        </w:rPr>
        <w:t>获得中标人推荐资格；评审得分相同的，由采购人或者采购人委托评标委员会按照招标文件规定的方式确定一个</w:t>
      </w:r>
      <w:r>
        <w:rPr>
          <w:rFonts w:hint="eastAsia" w:ascii="宋体" w:hAnsi="宋体" w:cs="Courier New"/>
          <w:kern w:val="0"/>
          <w:sz w:val="24"/>
          <w:szCs w:val="24"/>
        </w:rPr>
        <w:t>供应商</w:t>
      </w:r>
      <w:r>
        <w:rPr>
          <w:rFonts w:ascii="宋体" w:hAnsi="宋体" w:cs="Courier New"/>
          <w:kern w:val="0"/>
          <w:sz w:val="24"/>
          <w:szCs w:val="24"/>
        </w:rPr>
        <w:t>获得中标人推荐资格，招标文件未规定的采取随机抽取方式确定，其他同品牌</w:t>
      </w:r>
      <w:r>
        <w:rPr>
          <w:rFonts w:hint="eastAsia" w:ascii="宋体" w:hAnsi="宋体" w:cs="Courier New"/>
          <w:kern w:val="0"/>
          <w:sz w:val="24"/>
          <w:szCs w:val="24"/>
        </w:rPr>
        <w:t>供应商</w:t>
      </w:r>
      <w:r>
        <w:rPr>
          <w:rFonts w:ascii="宋体" w:hAnsi="宋体" w:cs="Courier New"/>
          <w:kern w:val="0"/>
          <w:sz w:val="24"/>
          <w:szCs w:val="24"/>
        </w:rPr>
        <w:t>不作为中标候选人。</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b/>
          <w:bCs/>
          <w:kern w:val="0"/>
          <w:sz w:val="24"/>
          <w:szCs w:val="24"/>
        </w:rPr>
      </w:pPr>
      <w:r>
        <w:rPr>
          <w:rFonts w:hint="eastAsia" w:ascii="宋体" w:hAnsi="宋体" w:cs="Courier New"/>
          <w:b/>
          <w:bCs/>
          <w:kern w:val="0"/>
          <w:sz w:val="24"/>
          <w:szCs w:val="24"/>
        </w:rPr>
        <w:t>37</w:t>
      </w:r>
      <w:r>
        <w:rPr>
          <w:rFonts w:hint="eastAsia" w:ascii="宋体" w:hAnsi="宋体" w:cs="Courier New"/>
          <w:b/>
          <w:bCs/>
          <w:kern w:val="0"/>
          <w:sz w:val="24"/>
          <w:szCs w:val="24"/>
          <w:lang w:val="en-US" w:eastAsia="zh-CN"/>
        </w:rPr>
        <w:t xml:space="preserve"> </w:t>
      </w:r>
      <w:r>
        <w:rPr>
          <w:rFonts w:ascii="宋体" w:hAnsi="宋体" w:cs="Courier New"/>
          <w:kern w:val="0"/>
          <w:sz w:val="24"/>
          <w:szCs w:val="24"/>
        </w:rPr>
        <w:t>非单一产品采购项目，采购人应当根据采购项目技术构成、产品价格比重等合理确定核心产品，并在招标文件中载明。多家</w:t>
      </w:r>
      <w:r>
        <w:rPr>
          <w:rFonts w:hint="eastAsia" w:ascii="宋体" w:hAnsi="宋体" w:cs="Courier New"/>
          <w:kern w:val="0"/>
          <w:sz w:val="24"/>
          <w:szCs w:val="24"/>
        </w:rPr>
        <w:t>供应商</w:t>
      </w:r>
      <w:r>
        <w:rPr>
          <w:rFonts w:ascii="宋体" w:hAnsi="宋体" w:cs="Courier New"/>
          <w:kern w:val="0"/>
          <w:sz w:val="24"/>
          <w:szCs w:val="24"/>
        </w:rPr>
        <w:t>提供的核心产品品牌相同的，按前两款规定处理。</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kern w:val="0"/>
          <w:sz w:val="24"/>
          <w:szCs w:val="24"/>
        </w:rPr>
      </w:pPr>
      <w:bookmarkStart w:id="33" w:name="_Toc15056_WPSOffice_Level2"/>
      <w:r>
        <w:rPr>
          <w:rFonts w:hint="eastAsia" w:ascii="宋体" w:hAnsi="宋体" w:cs="Courier New"/>
          <w:b/>
          <w:bCs/>
          <w:kern w:val="0"/>
          <w:sz w:val="24"/>
          <w:szCs w:val="24"/>
        </w:rPr>
        <w:t>十一、适用法律</w:t>
      </w:r>
      <w:bookmarkEnd w:id="33"/>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kern w:val="0"/>
          <w:sz w:val="24"/>
          <w:szCs w:val="24"/>
        </w:rPr>
      </w:pPr>
      <w:r>
        <w:rPr>
          <w:rFonts w:hint="eastAsia" w:ascii="宋体" w:hAnsi="宋体" w:cs="Courier New"/>
          <w:kern w:val="0"/>
          <w:sz w:val="24"/>
          <w:szCs w:val="24"/>
        </w:rPr>
        <w:t>38 采购人、采购代理机构及供应商的一切招标投标活动均适用《政府采购法》、《政府采购法实施条例》、《</w:t>
      </w:r>
      <w:r>
        <w:rPr>
          <w:rFonts w:hint="eastAsia" w:hAnsi="宋体"/>
          <w:bCs/>
          <w:sz w:val="24"/>
          <w:szCs w:val="24"/>
        </w:rPr>
        <w:t>政府采购非招标采购方式管理办法</w:t>
      </w:r>
      <w:r>
        <w:rPr>
          <w:rFonts w:hint="eastAsia" w:ascii="宋体" w:hAnsi="宋体" w:cs="Courier New"/>
          <w:kern w:val="0"/>
          <w:sz w:val="24"/>
          <w:szCs w:val="24"/>
        </w:rPr>
        <w:t>》及相关法律法规。</w:t>
      </w:r>
    </w:p>
    <w:p>
      <w:pPr>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kern w:val="0"/>
          <w:sz w:val="24"/>
          <w:szCs w:val="24"/>
        </w:rPr>
      </w:pPr>
      <w:r>
        <w:rPr>
          <w:rFonts w:hint="eastAsia" w:ascii="宋体" w:hAnsi="宋体" w:cs="Courier New"/>
          <w:kern w:val="0"/>
          <w:sz w:val="24"/>
          <w:szCs w:val="24"/>
        </w:rPr>
        <w:t>39 政府采购合同的履行、违约责任和解决争议的方法等适用《</w:t>
      </w:r>
      <w:r>
        <w:rPr>
          <w:rFonts w:hint="eastAsia" w:ascii="宋体" w:hAnsi="宋体" w:cs="Courier New"/>
          <w:kern w:val="0"/>
          <w:sz w:val="24"/>
          <w:szCs w:val="24"/>
          <w:lang w:val="en-US" w:eastAsia="zh-CN"/>
        </w:rPr>
        <w:t>民法典</w:t>
      </w:r>
      <w:r>
        <w:rPr>
          <w:rFonts w:hint="eastAsia" w:ascii="宋体" w:hAnsi="宋体" w:cs="Courier New"/>
          <w:kern w:val="0"/>
          <w:sz w:val="24"/>
          <w:szCs w:val="24"/>
        </w:rPr>
        <w:t>》。</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Courier New"/>
          <w:b/>
          <w:bCs/>
          <w:kern w:val="0"/>
          <w:sz w:val="24"/>
          <w:szCs w:val="24"/>
        </w:rPr>
      </w:pPr>
      <w:bookmarkStart w:id="34" w:name="_Toc6065"/>
      <w:bookmarkStart w:id="35" w:name="_Toc19576_WPSOffice_Level2"/>
      <w:bookmarkStart w:id="36" w:name="_Toc494561950"/>
      <w:bookmarkStart w:id="37" w:name="_Toc272247702"/>
      <w:bookmarkStart w:id="38" w:name="_Toc278891599"/>
      <w:r>
        <w:rPr>
          <w:rFonts w:hint="eastAsia" w:ascii="宋体" w:hAnsi="宋体" w:cs="Courier New"/>
          <w:b/>
          <w:bCs/>
          <w:kern w:val="0"/>
          <w:sz w:val="24"/>
          <w:szCs w:val="24"/>
        </w:rPr>
        <w:t>十二、采购文件的解释权</w:t>
      </w:r>
      <w:bookmarkEnd w:id="34"/>
      <w:bookmarkEnd w:id="35"/>
      <w:bookmarkEnd w:id="36"/>
      <w:bookmarkEnd w:id="37"/>
      <w:bookmarkEnd w:id="38"/>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b/>
          <w:bCs/>
          <w:sz w:val="24"/>
          <w:szCs w:val="24"/>
        </w:rPr>
      </w:pPr>
      <w:r>
        <w:rPr>
          <w:rFonts w:hint="eastAsia" w:ascii="宋体" w:hAnsi="宋体" w:cs="Courier New"/>
          <w:kern w:val="0"/>
          <w:sz w:val="24"/>
          <w:szCs w:val="24"/>
        </w:rPr>
        <w:t>采购文件的最终解释权为采购人、采购代理机构所有。</w:t>
      </w:r>
      <w:bookmarkStart w:id="39" w:name="_Toc25345_WPSOffice_Level1"/>
    </w:p>
    <w:p>
      <w:pPr>
        <w:keepNext w:val="0"/>
        <w:keepLines w:val="0"/>
        <w:pageBreakBefore w:val="0"/>
        <w:widowControl w:val="0"/>
        <w:kinsoku/>
        <w:wordWrap/>
        <w:overflowPunct/>
        <w:topLinePunct w:val="0"/>
        <w:autoSpaceDE/>
        <w:autoSpaceDN/>
        <w:bidi w:val="0"/>
        <w:adjustRightInd/>
        <w:snapToGrid/>
        <w:spacing w:line="500" w:lineRule="exact"/>
        <w:ind w:firstLine="964" w:firstLineChars="400"/>
        <w:textAlignment w:val="auto"/>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lang w:val="en-US" w:eastAsia="zh-CN"/>
        </w:rPr>
        <w:t xml:space="preserve">       </w:t>
      </w:r>
      <w:r>
        <w:rPr>
          <w:rFonts w:hint="eastAsia" w:ascii="宋体" w:hAnsi="宋体" w:cs="宋体"/>
          <w:b/>
          <w:bCs/>
          <w:sz w:val="32"/>
          <w:szCs w:val="32"/>
        </w:rPr>
        <w:t>第三章  采购内容及技术要求</w:t>
      </w:r>
      <w:bookmarkEnd w:id="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rPr>
      </w:pPr>
      <w:bookmarkStart w:id="40" w:name="_Toc22384_WPSOffice_Level2"/>
      <w:r>
        <w:rPr>
          <w:rStyle w:val="28"/>
          <w:rFonts w:hint="eastAsia" w:ascii="宋体" w:hAnsi="宋体" w:eastAsia="宋体" w:cs="宋体"/>
          <w:b w:val="0"/>
          <w:bCs w:val="0"/>
          <w:color w:val="000000"/>
          <w:sz w:val="24"/>
          <w:szCs w:val="24"/>
          <w:highlight w:val="none"/>
          <w:u w:val="none"/>
          <w:lang w:val="en-US" w:eastAsia="zh-CN"/>
        </w:rPr>
        <w:t xml:space="preserve"> </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2" w:firstLineChars="200"/>
        <w:textAlignment w:val="auto"/>
        <w:outlineLvl w:val="0"/>
        <w:rPr>
          <w:rFonts w:hint="eastAsia" w:ascii="宋体" w:hAnsi="宋体" w:eastAsia="宋体" w:cs="宋体"/>
          <w:b/>
          <w:bCs/>
          <w:sz w:val="24"/>
          <w:szCs w:val="24"/>
          <w:shd w:val="clear" w:color="auto" w:fill="FFFFFF"/>
        </w:rPr>
      </w:pPr>
      <w:bookmarkStart w:id="41" w:name="_Toc16519"/>
      <w:bookmarkStart w:id="42" w:name="_Toc526767376"/>
      <w:bookmarkStart w:id="43" w:name="_Toc4526"/>
      <w:bookmarkStart w:id="44" w:name="_Toc31489_WPSOffice_Level1"/>
      <w:bookmarkStart w:id="45" w:name="_Toc23894"/>
      <w:r>
        <w:rPr>
          <w:rFonts w:hint="eastAsia" w:ascii="宋体" w:hAnsi="宋体" w:eastAsia="宋体" w:cs="宋体"/>
          <w:b/>
          <w:bCs/>
          <w:sz w:val="24"/>
          <w:szCs w:val="24"/>
          <w:shd w:val="clear" w:color="auto" w:fill="FFFFFF"/>
          <w:lang w:val="en-US" w:eastAsia="zh-CN"/>
        </w:rPr>
        <w:t>一、</w:t>
      </w:r>
      <w:r>
        <w:rPr>
          <w:rFonts w:hint="eastAsia" w:ascii="宋体" w:hAnsi="宋体" w:eastAsia="宋体" w:cs="宋体"/>
          <w:b/>
          <w:bCs/>
          <w:sz w:val="24"/>
          <w:szCs w:val="24"/>
          <w:shd w:val="clear" w:color="auto" w:fill="FFFFFF"/>
        </w:rPr>
        <w:t>项目背景</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根据</w:t>
      </w:r>
      <w:r>
        <w:rPr>
          <w:rFonts w:hint="eastAsia" w:ascii="宋体" w:hAnsi="宋体" w:eastAsia="宋体" w:cs="宋体"/>
          <w:sz w:val="24"/>
          <w:szCs w:val="24"/>
          <w:shd w:val="clear" w:color="auto" w:fill="FFFFFF"/>
        </w:rPr>
        <w:t>《国务院第三次全国国土调查领导小组办公室关于印发〈第三次全国国土调查耕地资源质量分类工作方案〉的通知》（国土调查办发〔2020〕13号）</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2020年9月首次在全国部署开展了耕地资源质量分类工作</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国家制定统一技术要求、加强技术培训指导、组织成果内外业检查与全国数据建库汇总；各省份按照国家统一要求，组织各县开展外业调查与土壤样品采集、土壤相关指标和土壤微生物多样性指标检测，协调农业农村部门和生态环境部门获取土壤数据和农用地污染数据，完成内业数据处理、建库与汇总分析等工作。历时一年时间，形成了基于</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三调</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的全国耕地资源质量分类成果，全面掌握了我国耕地资源质量状况。</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sz w:val="24"/>
          <w:szCs w:val="24"/>
          <w:shd w:val="clear" w:color="auto" w:fill="FFFFFF"/>
        </w:rPr>
        <w:t>2021年12</w:t>
      </w:r>
      <w:r>
        <w:rPr>
          <w:rFonts w:hint="eastAsia" w:ascii="宋体" w:hAnsi="宋体" w:eastAsia="宋体" w:cs="宋体"/>
          <w:sz w:val="24"/>
          <w:szCs w:val="24"/>
          <w:highlight w:val="none"/>
          <w:shd w:val="clear" w:color="auto" w:fill="FFFFFF"/>
        </w:rPr>
        <w:t>月06日</w:t>
      </w:r>
      <w:r>
        <w:rPr>
          <w:rFonts w:hint="eastAsia" w:ascii="宋体" w:hAnsi="宋体" w:eastAsia="宋体" w:cs="宋体"/>
          <w:sz w:val="24"/>
          <w:szCs w:val="24"/>
          <w:highlight w:val="none"/>
          <w:shd w:val="clear" w:color="auto" w:fill="FFFFFF"/>
          <w:lang w:eastAsia="zh-CN"/>
        </w:rPr>
        <w:t>，自然资源部办公厅</w:t>
      </w:r>
      <w:r>
        <w:rPr>
          <w:rFonts w:hint="eastAsia" w:ascii="宋体" w:hAnsi="宋体" w:eastAsia="宋体" w:cs="宋体"/>
          <w:sz w:val="24"/>
          <w:szCs w:val="24"/>
          <w:highlight w:val="none"/>
          <w:shd w:val="clear" w:color="auto" w:fill="FFFFFF"/>
        </w:rPr>
        <w:t>印</w:t>
      </w:r>
      <w:r>
        <w:rPr>
          <w:rFonts w:hint="eastAsia" w:ascii="宋体" w:hAnsi="宋体" w:eastAsia="宋体" w:cs="宋体"/>
          <w:color w:val="auto"/>
          <w:sz w:val="24"/>
          <w:szCs w:val="24"/>
          <w:highlight w:val="none"/>
          <w:shd w:val="clear" w:color="auto" w:fill="FFFFFF"/>
        </w:rPr>
        <w:t>发《自然资源部办公厅关于开展2021年度全国国土变更调查工作的通知》（自然资办发〔2021〕68号）</w:t>
      </w:r>
      <w:r>
        <w:rPr>
          <w:rFonts w:hint="eastAsia" w:ascii="宋体" w:hAnsi="宋体" w:eastAsia="宋体" w:cs="宋体"/>
          <w:color w:val="auto"/>
          <w:sz w:val="24"/>
          <w:szCs w:val="24"/>
          <w:highlight w:val="none"/>
          <w:shd w:val="clear" w:color="auto" w:fill="FFFFFF"/>
          <w:lang w:eastAsia="zh-CN"/>
        </w:rPr>
        <w:t>：工作要求</w:t>
      </w:r>
      <w:r>
        <w:rPr>
          <w:rFonts w:hint="eastAsia" w:ascii="宋体" w:hAnsi="宋体" w:eastAsia="宋体" w:cs="宋体"/>
          <w:color w:val="auto"/>
          <w:sz w:val="24"/>
          <w:szCs w:val="24"/>
          <w:highlight w:val="none"/>
          <w:shd w:val="clear" w:color="auto" w:fill="FFFFFF"/>
          <w:lang w:val="en-US" w:eastAsia="zh-CN"/>
        </w:rPr>
        <w:t>中</w:t>
      </w:r>
      <w:r>
        <w:rPr>
          <w:rFonts w:hint="eastAsia" w:ascii="宋体" w:hAnsi="宋体" w:eastAsia="宋体" w:cs="宋体"/>
          <w:color w:val="auto"/>
          <w:sz w:val="24"/>
          <w:szCs w:val="24"/>
          <w:highlight w:val="none"/>
          <w:shd w:val="clear" w:color="auto" w:fill="FFFFFF"/>
          <w:lang w:eastAsia="zh-CN"/>
        </w:rPr>
        <w:t>（四）其他事项</w:t>
      </w:r>
      <w:r>
        <w:rPr>
          <w:rFonts w:hint="eastAsia" w:ascii="宋体" w:hAnsi="宋体" w:eastAsia="宋体" w:cs="宋体"/>
          <w:color w:val="auto"/>
          <w:sz w:val="24"/>
          <w:szCs w:val="24"/>
          <w:highlight w:val="none"/>
          <w:shd w:val="clear" w:color="auto" w:fill="FFFFFF"/>
          <w:lang w:val="en-US" w:eastAsia="zh-CN"/>
        </w:rPr>
        <w:t>中</w:t>
      </w:r>
      <w:r>
        <w:rPr>
          <w:rFonts w:hint="eastAsia" w:ascii="宋体" w:hAnsi="宋体" w:eastAsia="宋体" w:cs="宋体"/>
          <w:color w:val="auto"/>
          <w:sz w:val="24"/>
          <w:szCs w:val="24"/>
          <w:highlight w:val="none"/>
          <w:shd w:val="clear" w:color="auto" w:fill="FFFFFF"/>
          <w:lang w:eastAsia="zh-CN"/>
        </w:rPr>
        <w:t>二是自2021年度开始，各级耕地保护监督部门，要在“</w:t>
      </w:r>
      <w:r>
        <w:rPr>
          <w:rFonts w:hint="eastAsia" w:ascii="宋体" w:hAnsi="宋体" w:eastAsia="宋体" w:cs="宋体"/>
          <w:color w:val="auto"/>
          <w:sz w:val="24"/>
          <w:szCs w:val="24"/>
          <w:highlight w:val="none"/>
          <w:shd w:val="clear" w:color="auto" w:fill="FFFFFF"/>
        </w:rPr>
        <w:t>三调</w:t>
      </w:r>
      <w:r>
        <w:rPr>
          <w:rFonts w:hint="eastAsia" w:ascii="宋体" w:hAnsi="宋体" w:eastAsia="宋体" w:cs="宋体"/>
          <w:color w:val="auto"/>
          <w:sz w:val="24"/>
          <w:szCs w:val="24"/>
          <w:highlight w:val="none"/>
          <w:shd w:val="clear" w:color="auto" w:fill="FFFFFF"/>
          <w:lang w:eastAsia="zh-CN"/>
        </w:rPr>
        <w:t>”耕地资源质量分类工作基础上，牵头组织实施好年度更新与监测工作。</w:t>
      </w:r>
      <w:r>
        <w:rPr>
          <w:rFonts w:hint="eastAsia" w:ascii="宋体" w:hAnsi="宋体" w:eastAsia="宋体" w:cs="宋体"/>
          <w:b w:val="0"/>
          <w:bCs w:val="0"/>
          <w:color w:val="auto"/>
          <w:sz w:val="24"/>
          <w:szCs w:val="24"/>
          <w:highlight w:val="none"/>
          <w:shd w:val="clear" w:color="auto" w:fill="FFFFFF"/>
          <w:lang w:eastAsia="zh-CN"/>
        </w:rPr>
        <w:t>开展2020年度和2021年度耕地资源质量分类成果更新与监测。</w:t>
      </w:r>
      <w:r>
        <w:rPr>
          <w:rFonts w:hint="eastAsia" w:ascii="宋体" w:hAnsi="宋体" w:eastAsia="宋体" w:cs="宋体"/>
          <w:color w:val="auto"/>
          <w:sz w:val="24"/>
          <w:szCs w:val="24"/>
          <w:highlight w:val="none"/>
          <w:shd w:val="clear" w:color="auto" w:fill="FFFFFF"/>
          <w:lang w:eastAsia="zh-CN"/>
        </w:rPr>
        <w:t>以“三调”耕地资源质量分类成果，以及2020年度和202</w:t>
      </w:r>
      <w:r>
        <w:rPr>
          <w:rFonts w:hint="eastAsia" w:ascii="宋体" w:hAnsi="宋体" w:eastAsia="宋体" w:cs="宋体"/>
          <w:color w:val="auto"/>
          <w:sz w:val="24"/>
          <w:szCs w:val="24"/>
          <w:shd w:val="clear" w:color="auto" w:fill="FFFFFF"/>
          <w:lang w:eastAsia="zh-CN"/>
        </w:rPr>
        <w:t>1年度国土变更调查成果为基础，结合2020年度和2021年度所有土地整治、高标准农田建设等项目竣工验收资料，开展2020年度和2021年度耕地资源质量分类年度更新与监测工作，全面掌握年度内耕地质量变化情况。耕地资源质量分类年度更新范围包括新增和减少耕地、二级地类发生变化耕地、新增和减少可恢复的农用地和恢复属性发生变化的农用地，以及通过土地整治、高标准农田建设等项目实施质量发生变化的耕地和可恢复的农用地。耕地资源质量分类监测由各县选取典型样点开展耕地资源质量分类相关指标的监测。</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shd w:val="clear" w:color="auto" w:fill="FFFFFF"/>
          <w:lang w:val="en-US" w:eastAsia="zh-CN"/>
        </w:rPr>
        <w:t>根据</w:t>
      </w:r>
      <w:r>
        <w:rPr>
          <w:rFonts w:hint="eastAsia" w:ascii="宋体" w:hAnsi="宋体" w:eastAsia="宋体" w:cs="宋体"/>
          <w:color w:val="auto"/>
          <w:sz w:val="24"/>
          <w:szCs w:val="24"/>
          <w:highlight w:val="none"/>
          <w:shd w:val="clear" w:color="auto" w:fill="FFFFFF"/>
          <w:lang w:eastAsia="zh-CN"/>
        </w:rPr>
        <w:t>省自然资源厅办公室印发《关于湖北省耕地资源质量分类</w:t>
      </w:r>
      <w:r>
        <w:rPr>
          <w:rFonts w:hint="eastAsia" w:ascii="宋体" w:hAnsi="宋体" w:cs="宋体"/>
          <w:color w:val="auto"/>
          <w:sz w:val="24"/>
          <w:szCs w:val="24"/>
          <w:highlight w:val="none"/>
          <w:shd w:val="clear" w:color="auto" w:fill="FFFFFF"/>
          <w:lang w:val="en-US" w:eastAsia="zh-CN"/>
        </w:rPr>
        <w:t>2022</w:t>
      </w:r>
      <w:r>
        <w:rPr>
          <w:rFonts w:hint="eastAsia" w:ascii="宋体" w:hAnsi="宋体" w:eastAsia="宋体" w:cs="宋体"/>
          <w:color w:val="auto"/>
          <w:sz w:val="24"/>
          <w:szCs w:val="24"/>
          <w:highlight w:val="none"/>
          <w:shd w:val="clear" w:color="auto" w:fill="FFFFFF"/>
          <w:lang w:eastAsia="zh-CN"/>
        </w:rPr>
        <w:t>年度更新与监测实施方案的通知》，部署各地开展</w:t>
      </w:r>
      <w:r>
        <w:rPr>
          <w:rFonts w:hint="eastAsia" w:ascii="宋体" w:hAnsi="宋体" w:cs="宋体"/>
          <w:color w:val="auto"/>
          <w:sz w:val="24"/>
          <w:szCs w:val="24"/>
          <w:highlight w:val="none"/>
          <w:shd w:val="clear" w:color="auto" w:fill="FFFFFF"/>
          <w:lang w:val="en-US" w:eastAsia="zh-CN"/>
        </w:rPr>
        <w:t>2022</w:t>
      </w:r>
      <w:r>
        <w:rPr>
          <w:rFonts w:hint="eastAsia" w:ascii="宋体" w:hAnsi="宋体" w:eastAsia="宋体" w:cs="宋体"/>
          <w:color w:val="auto"/>
          <w:sz w:val="24"/>
          <w:szCs w:val="24"/>
          <w:highlight w:val="none"/>
          <w:shd w:val="clear" w:color="auto" w:fill="FFFFFF"/>
          <w:lang w:eastAsia="zh-CN"/>
        </w:rPr>
        <w:t>年度耕地资源质量分类年度更新与监测工作。</w:t>
      </w:r>
      <w:r>
        <w:rPr>
          <w:rFonts w:hint="eastAsia" w:ascii="宋体" w:hAnsi="宋体" w:eastAsia="宋体" w:cs="宋体"/>
          <w:b/>
          <w:bCs/>
          <w:color w:val="auto"/>
          <w:spacing w:val="0"/>
          <w:position w:val="0"/>
          <w:sz w:val="24"/>
          <w:szCs w:val="24"/>
          <w:highlight w:val="none"/>
          <w:shd w:val="clear" w:color="auto" w:fill="auto"/>
          <w:lang w:val="en-US" w:eastAsia="zh-CN"/>
        </w:rPr>
        <w:t>其中监测工作要求：</w:t>
      </w:r>
      <w:r>
        <w:rPr>
          <w:rFonts w:hint="eastAsia" w:ascii="宋体" w:hAnsi="宋体" w:eastAsia="宋体" w:cs="宋体"/>
          <w:color w:val="auto"/>
          <w:spacing w:val="0"/>
          <w:position w:val="0"/>
          <w:sz w:val="24"/>
          <w:szCs w:val="24"/>
          <w:highlight w:val="none"/>
          <w:shd w:val="clear" w:color="auto" w:fill="auto"/>
          <w:lang w:val="en-US" w:eastAsia="zh-CN"/>
        </w:rPr>
        <w:t>①每年监测全省1/3的县，3年覆盖全省所有县；②每县固定监测样点，样点数量平均每县不少于50个；③每县监测样点的监测周期为3年。</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outlineLvl w:val="0"/>
        <w:rPr>
          <w:rFonts w:hint="eastAsia" w:ascii="宋体" w:hAnsi="宋体" w:eastAsia="宋体" w:cs="宋体"/>
          <w:b/>
          <w:bCs/>
          <w:sz w:val="24"/>
          <w:szCs w:val="24"/>
          <w:shd w:val="clear" w:color="auto" w:fill="FFFFFF"/>
          <w:lang w:val="en-US" w:eastAsia="zh-CN"/>
        </w:rPr>
      </w:pPr>
      <w:bookmarkStart w:id="46" w:name="_Toc26375"/>
      <w:bookmarkStart w:id="47" w:name="_Toc22353"/>
      <w:bookmarkStart w:id="48" w:name="_Toc32708"/>
      <w:bookmarkStart w:id="49" w:name="_Toc13772_WPSOffice_Level1"/>
      <w:bookmarkStart w:id="50" w:name="_Toc8692"/>
      <w:bookmarkStart w:id="51" w:name="_Toc526767378"/>
      <w:bookmarkStart w:id="52" w:name="_Toc3959_WPSOffice_Level1"/>
      <w:r>
        <w:rPr>
          <w:rFonts w:hint="eastAsia" w:ascii="宋体" w:hAnsi="宋体" w:eastAsia="宋体" w:cs="宋体"/>
          <w:b/>
          <w:bCs/>
          <w:sz w:val="24"/>
          <w:szCs w:val="24"/>
          <w:shd w:val="clear" w:color="auto" w:fill="FFFFFF"/>
          <w:lang w:val="en-US" w:eastAsia="zh-CN"/>
        </w:rPr>
        <w:t>二、目标</w:t>
      </w:r>
      <w:bookmarkEnd w:id="46"/>
      <w:bookmarkEnd w:id="47"/>
      <w:r>
        <w:rPr>
          <w:rFonts w:hint="eastAsia" w:ascii="宋体" w:hAnsi="宋体" w:eastAsia="宋体" w:cs="宋体"/>
          <w:b/>
          <w:bCs/>
          <w:sz w:val="24"/>
          <w:szCs w:val="24"/>
          <w:shd w:val="clear" w:color="auto" w:fill="FFFFFF"/>
          <w:lang w:val="en-US" w:eastAsia="zh-CN"/>
        </w:rPr>
        <w:t>任务</w:t>
      </w:r>
      <w:bookmarkEnd w:id="48"/>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53" w:name="_Toc5216"/>
      <w:r>
        <w:rPr>
          <w:rFonts w:hint="eastAsia" w:ascii="宋体" w:hAnsi="宋体" w:eastAsia="宋体" w:cs="宋体"/>
          <w:b/>
          <w:bCs/>
          <w:color w:val="auto"/>
          <w:spacing w:val="0"/>
          <w:position w:val="0"/>
          <w:sz w:val="24"/>
          <w:szCs w:val="24"/>
          <w:highlight w:val="none"/>
          <w:shd w:val="clear" w:color="auto" w:fill="auto"/>
          <w:lang w:val="en-US" w:eastAsia="zh-CN"/>
        </w:rPr>
        <w:t>（一）工作目标</w:t>
      </w:r>
      <w:bookmarkEnd w:id="53"/>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bookmarkStart w:id="54" w:name="_Toc6112"/>
      <w:r>
        <w:rPr>
          <w:rFonts w:hint="eastAsia" w:ascii="宋体" w:hAnsi="宋体" w:eastAsia="宋体" w:cs="宋体"/>
          <w:sz w:val="24"/>
          <w:szCs w:val="24"/>
          <w:shd w:val="clear" w:color="auto" w:fill="FFFFFF"/>
          <w:lang w:val="en-US" w:eastAsia="zh-CN"/>
        </w:rPr>
        <w:t>2020年9月，全国三调办印发了《第三次全国国土调查耕地资源质量分类工作方案》，首次在全国部署开展了耕地资源质量分类工作。历时一年时间，形成了基于“三调”的全国耕地资源质量分类成果，全面掌握了我国耕地资源质量本底状况。</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2021年，自然资源部将耕地资源质量分类成果更新与监测工作纳入全国国土变更调查工作中，并与2021年度全国国土变更调查工作同时部署实施，完成了2020年度和2021年度耕地资源质量分类成果更新与监测工作。在此基础上，继续开展2022年度耕地资源质量分类更新与监测工作，全面掌握年度内耕地质量变化情况。</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Times New Roman" w:hAnsi="Times New Roman" w:eastAsia="仿宋_GB2312"/>
          <w:color w:val="000000"/>
          <w:sz w:val="32"/>
          <w:szCs w:val="32"/>
        </w:rPr>
      </w:pPr>
      <w:r>
        <w:rPr>
          <w:rFonts w:hint="eastAsia" w:ascii="宋体" w:hAnsi="宋体" w:eastAsia="宋体" w:cs="宋体"/>
          <w:sz w:val="24"/>
          <w:szCs w:val="24"/>
          <w:shd w:val="clear" w:color="auto" w:fill="FFFFFF"/>
          <w:lang w:val="en-US" w:eastAsia="zh-CN"/>
        </w:rPr>
        <w:t>通过开展耕地资源质量分类年度更新与监测工作，全面掌握年度内耕地现状变化及耕地质量建设引起的耕地质量变化情况，保持耕地质量分类数据的现势性，为落实耕地数量、质量、生态“三位一体”保护提供支撑。</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（二）工作任务</w:t>
      </w:r>
      <w:bookmarkEnd w:id="54"/>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以 2021 年度耕地资源质量分类成果，以及 2022 年度国土变更调查成果为基础，结合 2022 年度所有土地整治、高标准农田建设等项目竣工验收资料，开展 2022 年度耕地资源质量分类更新与监测工作，生成 2022 年度耕地资源质量分类年度更新数据库，建立耕地资源质量分类监测数据库，形成耕地资源质量分类年度更新与监测分析报告。</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outlineLvl w:val="0"/>
        <w:rPr>
          <w:rFonts w:hint="eastAsia" w:ascii="宋体" w:hAnsi="宋体" w:eastAsia="宋体" w:cs="宋体"/>
          <w:b/>
          <w:bCs/>
          <w:sz w:val="24"/>
          <w:szCs w:val="24"/>
          <w:shd w:val="clear" w:color="auto" w:fill="FFFFFF"/>
        </w:rPr>
      </w:pPr>
      <w:bookmarkStart w:id="55" w:name="_Toc28564"/>
      <w:bookmarkStart w:id="56" w:name="_Toc5510"/>
      <w:r>
        <w:rPr>
          <w:rFonts w:hint="eastAsia" w:ascii="宋体" w:hAnsi="宋体" w:eastAsia="宋体" w:cs="宋体"/>
          <w:b/>
          <w:bCs/>
          <w:sz w:val="24"/>
          <w:szCs w:val="24"/>
          <w:shd w:val="clear" w:color="auto" w:fill="FFFFFF"/>
          <w:lang w:val="en-US" w:eastAsia="zh-CN"/>
        </w:rPr>
        <w:t>三</w:t>
      </w:r>
      <w:r>
        <w:rPr>
          <w:rFonts w:hint="eastAsia" w:ascii="宋体" w:hAnsi="宋体" w:eastAsia="宋体" w:cs="宋体"/>
          <w:b/>
          <w:bCs/>
          <w:sz w:val="24"/>
          <w:szCs w:val="24"/>
          <w:shd w:val="clear" w:color="auto" w:fill="FFFFFF"/>
        </w:rPr>
        <w:t>、工作依据</w:t>
      </w:r>
      <w:bookmarkEnd w:id="49"/>
      <w:bookmarkEnd w:id="50"/>
      <w:bookmarkEnd w:id="51"/>
      <w:bookmarkEnd w:id="52"/>
      <w:bookmarkEnd w:id="55"/>
      <w:bookmarkEnd w:id="56"/>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rPr>
      </w:pPr>
      <w:bookmarkStart w:id="57" w:name="_Toc3916"/>
      <w:bookmarkStart w:id="58" w:name="_Toc10159"/>
      <w:bookmarkStart w:id="59" w:name="_Toc22247"/>
      <w:r>
        <w:rPr>
          <w:rFonts w:hint="eastAsia" w:ascii="宋体" w:hAnsi="宋体" w:eastAsia="宋体" w:cs="宋体"/>
          <w:b/>
          <w:bCs/>
          <w:color w:val="auto"/>
          <w:spacing w:val="0"/>
          <w:position w:val="0"/>
          <w:sz w:val="24"/>
          <w:szCs w:val="24"/>
          <w:highlight w:val="none"/>
          <w:shd w:val="clear" w:color="auto" w:fill="auto"/>
        </w:rPr>
        <w:t>（一）政策文件</w:t>
      </w:r>
      <w:bookmarkEnd w:id="57"/>
      <w:bookmarkEnd w:id="58"/>
      <w:bookmarkEnd w:id="59"/>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1.《中华人民共和国土地管理法》（2019年修订）；</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2.《国务院关于开展第三次全国土地调查的通知》（国发〔2017〕48号）；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3.《国务院第三次全国土地调查领导小组办公室关于印发&lt;第三次全国土地调查总体方案&gt;的通知》（国土调查办发〔2018〕1号）；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4.《国务院第三次全国国土调查领导小组办公室关于印发&lt;第三次全国国土调查耕地资源质量分类工作方案&gt;的通知》（国土调查办发〔2020〕13号）；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5.《自然资源部办公厅关于开展2021年度全国国土变更调查工作的通知》</w:t>
      </w:r>
      <w:r>
        <w:rPr>
          <w:rFonts w:hint="eastAsia" w:ascii="宋体" w:hAnsi="宋体" w:eastAsia="宋体" w:cs="宋体"/>
          <w:color w:val="auto"/>
          <w:sz w:val="24"/>
          <w:szCs w:val="24"/>
          <w:shd w:val="clear" w:color="auto" w:fill="FFFFFF"/>
        </w:rPr>
        <w:t>（自然资办发〔2021〕68号）</w:t>
      </w:r>
      <w:r>
        <w:rPr>
          <w:rFonts w:hint="eastAsia" w:ascii="宋体" w:hAnsi="宋体" w:eastAsia="宋体" w:cs="宋体"/>
          <w:color w:val="auto"/>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6.《湖北省第三次国土调查领导小组办公室关于印发&lt;湖北省第三次国土调查耕地资源质量分类实施方案&gt;的通知》（鄂土调查办发〔2020〕11号）；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7.《省自然资源厅办公室关于印发湖北省耕地资源质量分类年度更新与监测实施方案的通知》。</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8.《湖北省耕地资源质量分类2022年度更新与监测实施方案的通知》（鄂自然资办发〔2023〕186号）。</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60" w:name="_Toc28056"/>
      <w:bookmarkStart w:id="61" w:name="_Toc23926"/>
      <w:bookmarkStart w:id="62" w:name="_Toc4957"/>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二）</w:t>
      </w:r>
      <w:bookmarkEnd w:id="60"/>
      <w:bookmarkEnd w:id="61"/>
      <w:r>
        <w:rPr>
          <w:rFonts w:hint="eastAsia" w:ascii="宋体" w:hAnsi="宋体" w:eastAsia="宋体" w:cs="宋体"/>
          <w:b/>
          <w:bCs/>
          <w:color w:val="auto"/>
          <w:spacing w:val="0"/>
          <w:position w:val="0"/>
          <w:sz w:val="24"/>
          <w:szCs w:val="24"/>
          <w:highlight w:val="none"/>
          <w:shd w:val="clear" w:color="auto" w:fill="auto"/>
          <w:lang w:val="en-US" w:eastAsia="zh-CN"/>
        </w:rPr>
        <w:t>技术规范</w:t>
      </w:r>
      <w:bookmarkEnd w:id="62"/>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eastAsia="zh-CN"/>
        </w:rPr>
      </w:pPr>
      <w:r>
        <w:rPr>
          <w:rFonts w:hint="eastAsia" w:ascii="宋体" w:hAnsi="宋体" w:eastAsia="宋体" w:cs="宋体"/>
          <w:color w:val="auto"/>
          <w:spacing w:val="0"/>
          <w:position w:val="0"/>
          <w:sz w:val="24"/>
          <w:szCs w:val="24"/>
          <w:highlight w:val="none"/>
          <w:shd w:val="clear" w:color="auto" w:fill="auto"/>
          <w:lang w:val="en-US" w:eastAsia="zh-CN"/>
        </w:rPr>
        <w:t>1.</w:t>
      </w:r>
      <w:r>
        <w:rPr>
          <w:rFonts w:hint="eastAsia" w:ascii="宋体" w:hAnsi="宋体" w:eastAsia="宋体" w:cs="宋体"/>
          <w:color w:val="auto"/>
          <w:spacing w:val="0"/>
          <w:position w:val="0"/>
          <w:sz w:val="24"/>
          <w:szCs w:val="24"/>
          <w:highlight w:val="none"/>
          <w:shd w:val="clear" w:color="auto" w:fill="auto"/>
        </w:rPr>
        <w:t>《中华人民共和国行政区划代码》（GB/T 2260-2007）</w:t>
      </w:r>
      <w:r>
        <w:rPr>
          <w:rFonts w:hint="eastAsia" w:ascii="宋体" w:hAnsi="宋体" w:eastAsia="宋体" w:cs="宋体"/>
          <w:color w:val="auto"/>
          <w:spacing w:val="0"/>
          <w:position w:val="0"/>
          <w:sz w:val="24"/>
          <w:szCs w:val="24"/>
          <w:highlight w:val="none"/>
          <w:shd w:val="clear" w:color="auto" w:fill="auto"/>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2.《县以下行政区划代码编制规则》（GB/T 10114-2003）；</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3.《基础地理信息要素数据分类与代码》（GB/T 13923-2006）；</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4.《基础比例尺地形图分幅和编号》（GB/T 13989-2012）；</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5.《地球空间数据交换格式》（GB/T 17798-2007）；</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6.《土地基本术语》（GB/T 19231-2003）；</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7.《土地利用现状分类》（GB/T 21010-2017）；</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8.《农用地分等规程》（GB/T 28407-2012）；</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9.《农用地质量分等规程》（GB/T28407-2012）;</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10.《第三次全国国土调查技术规程》（TD/T 1055-2019）</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11.《第三次全国国土调查耕地分等调查评价技术要求》；</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12.《国土调查数据库标准》（TD/T 1057-2020）；</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13.《第三次全国国土调查县级数据库建设技术规范》（TD/T 1058-2020）；</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14.《第三次全国国土调查耕地资源质量分类操作指南》（国土云）；</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15.《第三次全国国土调查耕地资源质量分类技术要求》；</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16.《第三次全国国土调查耕地资源质量分类数据库标准》。</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outlineLvl w:val="0"/>
        <w:rPr>
          <w:rFonts w:hint="eastAsia" w:ascii="宋体" w:hAnsi="宋体" w:eastAsia="宋体" w:cs="宋体"/>
          <w:b/>
          <w:bCs/>
          <w:sz w:val="24"/>
          <w:szCs w:val="24"/>
          <w:shd w:val="clear" w:color="auto" w:fill="FFFFFF"/>
          <w:lang w:val="en-US" w:eastAsia="zh-CN"/>
        </w:rPr>
      </w:pPr>
      <w:bookmarkStart w:id="63" w:name="_Toc21892_WPSOffice_Level1"/>
      <w:bookmarkStart w:id="64" w:name="_Toc526767381"/>
      <w:bookmarkStart w:id="65" w:name="_Toc28070"/>
      <w:bookmarkStart w:id="66" w:name="_Toc9658_WPSOffice_Level1"/>
      <w:bookmarkStart w:id="67" w:name="_Toc18365"/>
      <w:bookmarkStart w:id="68" w:name="_Toc5741"/>
      <w:r>
        <w:rPr>
          <w:rFonts w:hint="eastAsia" w:ascii="宋体" w:hAnsi="宋体" w:eastAsia="宋体" w:cs="宋体"/>
          <w:b/>
          <w:bCs/>
          <w:sz w:val="24"/>
          <w:szCs w:val="24"/>
          <w:shd w:val="clear" w:color="auto" w:fill="FFFFFF"/>
        </w:rPr>
        <w:t>四、</w:t>
      </w:r>
      <w:bookmarkEnd w:id="63"/>
      <w:bookmarkEnd w:id="64"/>
      <w:bookmarkEnd w:id="65"/>
      <w:bookmarkEnd w:id="66"/>
      <w:bookmarkEnd w:id="67"/>
      <w:r>
        <w:rPr>
          <w:rFonts w:hint="eastAsia" w:ascii="宋体" w:hAnsi="宋体" w:eastAsia="宋体" w:cs="宋体"/>
          <w:b/>
          <w:bCs/>
          <w:sz w:val="24"/>
          <w:szCs w:val="24"/>
          <w:shd w:val="clear" w:color="auto" w:fill="FFFFFF"/>
          <w:lang w:val="en-US" w:eastAsia="zh-CN"/>
        </w:rPr>
        <w:t>工作程序与方法</w:t>
      </w:r>
      <w:bookmarkEnd w:id="68"/>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69" w:name="_Toc29857"/>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一</w:t>
      </w:r>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工作路线</w:t>
      </w:r>
      <w:bookmarkEnd w:id="69"/>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本次耕地资源质量分类年度更新与监测工作由耕地保护监督部门牵头，按照“国家统一技术要求、下发工作底图、技术培训指导、全国成果数据检查入库与汇总分析；省级技术指导、下发工作底图、确定监测县及各县监测样点数量，省级检查、汇总、上报成果；市级检查、汇总、上报成果；县级资料收集、样点布设、外业调查，生成更新包、更新全库、建立监测数据库，自查、上报成果”的形式，共同做好年度更新与监测工作。耕地资源质量分类年度更新与监测工作路线具体如下图所示：</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jc w:val="center"/>
        <w:textAlignment w:val="auto"/>
        <w:rPr>
          <w:rFonts w:hint="eastAsia" w:ascii="宋体" w:hAnsi="宋体" w:eastAsia="宋体" w:cs="宋体"/>
          <w:color w:val="auto"/>
          <w:spacing w:val="0"/>
          <w:position w:val="0"/>
          <w:sz w:val="24"/>
          <w:szCs w:val="24"/>
          <w:highlight w:val="none"/>
          <w:shd w:val="clear" w:color="auto" w:fill="auto"/>
          <w:lang w:val="en-US" w:eastAsia="zh-CN"/>
        </w:rPr>
      </w:pPr>
    </w:p>
    <w:p>
      <w:pPr>
        <w:pStyle w:val="17"/>
        <w:rPr>
          <w:rFonts w:hint="eastAsia"/>
          <w:lang w:val="en-US" w:eastAsia="zh-CN"/>
        </w:rPr>
      </w:pPr>
      <w:r>
        <w:rPr>
          <w:rFonts w:hint="eastAsia"/>
          <w:lang w:val="en-US" w:eastAsia="zh-CN"/>
        </w:rPr>
        <w:drawing>
          <wp:inline distT="0" distB="0" distL="114300" distR="114300">
            <wp:extent cx="4953000" cy="7743825"/>
            <wp:effectExtent l="0" t="0" r="0"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9"/>
                    <a:stretch>
                      <a:fillRect/>
                    </a:stretch>
                  </pic:blipFill>
                  <pic:spPr>
                    <a:xfrm>
                      <a:off x="0" y="0"/>
                      <a:ext cx="4953000" cy="7743825"/>
                    </a:xfrm>
                    <a:prstGeom prst="rect">
                      <a:avLst/>
                    </a:prstGeom>
                  </pic:spPr>
                </pic:pic>
              </a:graphicData>
            </a:graphic>
          </wp:inline>
        </w:drawing>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jc w:val="center"/>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表1 耕地资源质量分类年度更新与监测工作路线</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70" w:name="_Toc12899_WPSOffice_Level1"/>
      <w:bookmarkStart w:id="71" w:name="_Toc1450"/>
      <w:bookmarkStart w:id="72" w:name="_Toc25119"/>
      <w:bookmarkStart w:id="73" w:name="_Toc526767382"/>
      <w:bookmarkStart w:id="74" w:name="_Toc12185_WPSOffice_Level1"/>
      <w:r>
        <w:rPr>
          <w:rFonts w:hint="eastAsia" w:ascii="宋体" w:hAnsi="宋体" w:eastAsia="宋体" w:cs="宋体"/>
          <w:sz w:val="24"/>
          <w:szCs w:val="24"/>
          <w:shd w:val="clear" w:color="auto" w:fill="FFFFFF"/>
        </w:rPr>
        <w:br w:type="page"/>
      </w:r>
      <w:bookmarkStart w:id="75" w:name="_Toc9286"/>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二</w:t>
      </w:r>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更新范围</w:t>
      </w:r>
      <w:bookmarkEnd w:id="75"/>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更新范围：</w:t>
      </w:r>
      <w:r>
        <w:rPr>
          <w:rFonts w:hint="eastAsia" w:ascii="宋体" w:hAnsi="宋体" w:eastAsia="宋体" w:cs="宋体"/>
          <w:color w:val="auto"/>
          <w:spacing w:val="0"/>
          <w:position w:val="0"/>
          <w:sz w:val="24"/>
          <w:szCs w:val="24"/>
          <w:highlight w:val="none"/>
          <w:shd w:val="clear" w:color="auto" w:fill="auto"/>
          <w:lang w:val="en-US" w:eastAsia="zh-CN"/>
        </w:rPr>
        <w:t>①新增和减少耕地、二级地类发生变化耕地；②新增和减少可恢复为耕地的农用地、恢复属性发生变化的农用地；③土地整治、高标准农田建设等项目实施质量发生变化的耕地和可恢复为耕地的农用地。</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76" w:name="_Toc30025"/>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三</w:t>
      </w:r>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工作内容</w:t>
      </w:r>
      <w:bookmarkEnd w:id="76"/>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1.资料收集</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1.耕地资源质量分类资料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通过国家核查的上一年度耕地资源质量分类成果：用于预判2022年度更新和监测需要外业调查图斑，开展外业调查，以及分类指标数据赋值。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2.年度国土变更调查资料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（1）国家下发数据</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国家下发数据为质量分类年度更新与监测基础库，包括国土变更调查地类图斑层中所有耕地和恢复地类图斑。其中，包含新增和二级地类变化耕地、新增恢复地类和恢复属性变化的地类图斑，用于生成年度更新数据库。其他耕地二级地类和恢复属性未发生变化的耕地和恢复地类图斑，用于提取质量建设图斑和监测样点图斑，生成年度更新和监测数据库。</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（2）地方收集数据</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2022年度国土变更调查增量包（初始数据）的地类图斑更新层、日常变更数据：用于预判2022年度更新和监测需要外业调查图斑，开展外业调查。</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3.土地整治项目资料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 xml:space="preserve">年度内已完成变更的各级各类生态系统修复、全域土地综合整治（包括一般土地整治项目、开发补充耕地、提质改造、重大工程项目、城乡建设用地增减挂钩项目、工矿废弃地复垦项目等）、高标准农田等项目的可研、设计和竣工验收资料：用于预判2022年度更新需要外业调查图斑，开展外业调查和分类指标数据赋值。 </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4.其他资料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生态环境部门农用地土壤污染状况详查成果：用于土壤污染状况赋值。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default" w:ascii="宋体" w:hAnsi="宋体" w:eastAsia="宋体" w:cs="宋体"/>
          <w:color w:val="auto"/>
          <w:spacing w:val="0"/>
          <w:position w:val="0"/>
          <w:sz w:val="24"/>
          <w:szCs w:val="24"/>
          <w:highlight w:val="none"/>
          <w:shd w:val="clear" w:color="auto" w:fill="auto"/>
          <w:lang w:val="en-US" w:eastAsia="zh-CN"/>
        </w:rPr>
      </w:pPr>
      <w:r>
        <w:rPr>
          <w:rFonts w:hint="default" w:ascii="宋体" w:hAnsi="宋体" w:eastAsia="宋体" w:cs="宋体"/>
          <w:color w:val="auto"/>
          <w:spacing w:val="0"/>
          <w:position w:val="0"/>
          <w:sz w:val="24"/>
          <w:szCs w:val="24"/>
          <w:highlight w:val="none"/>
          <w:shd w:val="clear" w:color="auto" w:fill="auto"/>
          <w:lang w:val="en-US" w:eastAsia="zh-CN"/>
        </w:rPr>
        <w:t>农用地自然条件资料（包括地貌、水文、土壤以及其他和土地质量有关的资料）：用于监测布点和结果分析。</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2.生成工作底图</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耕地更新图层：①新增耕地图层：根据下发图层生成；②减少耕地图层：根据下发图层生成；③二级地类变化图层：根据下发图层生成；④质量建设图层：结合项目资料，根据下发的当年国土变更调查库中的耕地图层，提取项目区范围内耕地图斑，生成质量建设图层。与新增和二级地类变化图层重合的图斑，优先作为新增和二级地类变化图层（确保与变更调查的一致性）。</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恢复地类更新图层：①新增恢复地类图层：根据下发图层生成；②减少恢复地类图层：根据下发图层生成；③恢复属性变化图层：根据下发图层生成；④质量建设图层：结合项目资料，根据下发的当年国土变更调查库中的恢复地类图层，提取项目区范围内恢复地类图斑，生成质量建设图层。与新增和恢复属性变化图层重合的图斑，优先作为新增和恢复属性变化图层（确保与变更调查的一致性）。</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3.样点布设</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（1）耕地资源质量分类年度更新</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年度更新范围内涉及地块要求进行实地调查采样化验。如果新增耕地项目、质量建设项目验收资料中有实地调查检测值的，可以直接应用；没有的，需到实地调查采样化验。</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年度更新范围内地块连片面积较大的可适当多布设样点进行调查，地块少面积小且与现状耕地或恢复地类连片的可不进行实地调查。</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4.样点调查</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更新样点实地调查</w:t>
      </w:r>
      <w:r>
        <w:rPr>
          <w:rFonts w:hint="eastAsia" w:ascii="宋体" w:hAnsi="宋体" w:eastAsia="宋体" w:cs="宋体"/>
          <w:b/>
          <w:bCs/>
          <w:color w:val="auto"/>
          <w:spacing w:val="0"/>
          <w:position w:val="0"/>
          <w:sz w:val="24"/>
          <w:szCs w:val="24"/>
          <w:highlight w:val="none"/>
          <w:shd w:val="clear" w:color="auto" w:fill="auto"/>
          <w:lang w:val="en-US" w:eastAsia="zh-CN"/>
        </w:rPr>
        <w:t>土层厚度、土壤质地、土壤有机质含量、土壤pH值</w:t>
      </w:r>
      <w:r>
        <w:rPr>
          <w:rFonts w:hint="eastAsia" w:ascii="宋体" w:hAnsi="宋体" w:eastAsia="宋体" w:cs="宋体"/>
          <w:color w:val="auto"/>
          <w:spacing w:val="0"/>
          <w:position w:val="0"/>
          <w:sz w:val="24"/>
          <w:szCs w:val="24"/>
          <w:highlight w:val="none"/>
          <w:shd w:val="clear" w:color="auto" w:fill="auto"/>
          <w:lang w:val="en-US" w:eastAsia="zh-CN"/>
        </w:rPr>
        <w:t>4个土壤条件指标属性信息，并将调查信息上传至“国土调查云”平台的耕地资源质量分类模块。</w:t>
      </w:r>
      <w:r>
        <w:rPr>
          <w:rFonts w:hint="eastAsia" w:ascii="宋体" w:hAnsi="宋体" w:eastAsia="宋体" w:cs="宋体"/>
          <w:b/>
          <w:bCs/>
          <w:color w:val="auto"/>
          <w:spacing w:val="0"/>
          <w:position w:val="0"/>
          <w:sz w:val="24"/>
          <w:szCs w:val="24"/>
          <w:highlight w:val="none"/>
          <w:shd w:val="clear" w:color="auto" w:fill="auto"/>
          <w:lang w:val="en-US" w:eastAsia="zh-CN"/>
        </w:rPr>
        <w:t>生物多样性指标</w:t>
      </w:r>
      <w:r>
        <w:rPr>
          <w:rFonts w:hint="eastAsia" w:ascii="宋体" w:hAnsi="宋体" w:eastAsia="宋体" w:cs="宋体"/>
          <w:color w:val="auto"/>
          <w:spacing w:val="0"/>
          <w:position w:val="0"/>
          <w:sz w:val="24"/>
          <w:szCs w:val="24"/>
          <w:highlight w:val="none"/>
          <w:shd w:val="clear" w:color="auto" w:fill="auto"/>
          <w:lang w:val="en-US" w:eastAsia="zh-CN"/>
        </w:rPr>
        <w:t>，计划明年深入开展研究，进一步完善规范全国耕地土壤生物多样性调查方法。</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（1）土壤采样方法</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在确定的调查样点里，选取3个面积为100m</w:t>
      </w:r>
      <w:r>
        <w:rPr>
          <w:rFonts w:hint="eastAsia" w:ascii="宋体" w:hAnsi="宋体" w:eastAsia="宋体" w:cs="宋体"/>
          <w:color w:val="auto"/>
          <w:spacing w:val="0"/>
          <w:position w:val="0"/>
          <w:sz w:val="24"/>
          <w:szCs w:val="24"/>
          <w:highlight w:val="none"/>
          <w:shd w:val="clear" w:color="auto" w:fill="auto"/>
          <w:vertAlign w:val="superscript"/>
          <w:lang w:val="en-US" w:eastAsia="zh-CN"/>
        </w:rPr>
        <w:t>2</w:t>
      </w:r>
      <w:r>
        <w:rPr>
          <w:rFonts w:hint="eastAsia" w:ascii="宋体" w:hAnsi="宋体" w:eastAsia="宋体" w:cs="宋体"/>
          <w:color w:val="auto"/>
          <w:spacing w:val="0"/>
          <w:position w:val="0"/>
          <w:sz w:val="24"/>
          <w:szCs w:val="24"/>
          <w:highlight w:val="none"/>
          <w:shd w:val="clear" w:color="auto" w:fill="auto"/>
          <w:lang w:val="en-US" w:eastAsia="zh-CN"/>
        </w:rPr>
        <w:t>左右的样方，通过五点取样法选取5个点，每个点用土钻取0-15cm的表层土。将3个样方共15个采样点的土壤充分混匀，取1/4装入干净的自封袋并编号，作为一个样点的有效土壤样品。</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①土层厚度：土壤层和松散的母质层之和。可采用土钻钻取土芯的方式获取，土钻钻取深度超过100cm时，可将土层厚度确定为100cm。</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②土壤质地：耕层土壤中不同大小直径的矿物颗粒的组合状况。采用实地取样，实验室分析化验方法获取，通过检测土壤黏粒含量（土粒直径D＜0.002mm）来判定土壤质地。</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③土壤有机质含量：单位体积土壤中所含有机物质的数量。采用实地取样，实验室分析化验方法获取。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④土壤pH值：耕层土壤的酸碱程度。采用实地取样，实验室分析化验方法获取。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（2）土壤采样时间</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在作物收获后或播种施肥前采样。</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5.获取年度更新分类指标数据</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（1）土壤条件指标数据获取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1）减少耕地和恢复地类分类指标数据获取：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将减少耕地图层、减少恢复地类图层与上一年度耕地资源质量分类数据库中的分类单元、扩充分类单元图层进行叠加，读取减少耕地的分类指标数据。</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2）新增耕地和恢复地类分类指标数据获取：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①项目资料中有土壤条件四个指标数据的，经核实无误后，直接赋值。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②项目资料中数据核实有误或没有相关数据以及未在项目区的，利用外业调查样点数据赋值。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③图斑面积较小的，可参考周边耕地和恢复地类图斑指标属性赋值。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3）二级地类变化耕地和恢复地类分类指标数据获取：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①获取变化前质量信息。分别将二级地类与恢复属性变化图层与上一年度质量分类数据库中的分类单元图层、扩充单元图层进行叠加，读取二级地类变化前的分类指标属性值。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②获取变化后质量分类信息。项目资料中有土壤条件四个指标数据的，经核实无误后直接赋值；项目资料中数据核实有误或没有相关数据以及未在项目区的，利用外业调查样点数据赋值；图斑面积较小的，可参考周边耕地和恢复地类图斑属性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4）质量建设耕地和恢复地类分类指标数据获取：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①获取质量建设前质量信息。将质量建设图层与上一年度质量分类数据库中的分类单元、扩充分类单元图层进行叠加，读取质量建设图斑建设前的质量信息。</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②获取质量建设后质量信息。项目资料中有土壤条件四个指标数据的，经核实无误后，直接赋值；项目资料中数据核实有误的或没有相关数据的，以及未在项目区的，利用外业调查样点数据赋值；图斑面积较小的，可参考周边耕地和恢复地类图斑属性赋值。</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（2）其他指标数据获取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1）自然区和熟制：直接应用“三调”耕地资源质量分类结果。</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坡度：耕地新增、减少和二级地类变化3个图层直接从国家下发的增量图层中获取，质量建设图层从国家下发的变更调查耕地图层中获取；恢复地类新增图层需依据坡度图，利用面积最优法计算各图斑坡度，减少、恢复属性变化和质量建设3个图层从上一年度耕地资源质量分类数据库读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3）二级地类：耕地和恢复地类新增、减少和二级地类变化3个图层直接从国家下发的增量图层中获取，质量建设图层从变更调查数据库耕地和恢复地类图层读取。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4）生物多样性：耕地和恢复地类新增、二级地类变化2个图层根据“三调”耕地资源质量分类省级确定的全省生物多样性级别划分标准，按地类确定各图斑生物多样性结果；减少、质量建设2个图层从上一年度耕地资源质量分类数据库读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5）土壤污染状况：能获取到生态环境部门最新土壤污染成果的，按照保密要求由省级依据最新成果赋值；无法获取的，新增耕地和恢复地类图斑均赋绿色，其他图层从上一年度耕地资源质量分类数据库读取。</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6.生成年度更新数据包</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整理年度更新成果，按照耕地资源质量分类年度更新数据包结构定义要求，生成耕地资源质量分类年度更新数据包。如下图所示：</w:t>
      </w:r>
    </w:p>
    <w:p>
      <w:pPr>
        <w:pStyle w:val="17"/>
        <w:rPr>
          <w:rFonts w:hint="eastAsia"/>
          <w:lang w:val="en-US" w:eastAsia="zh-CN"/>
        </w:rPr>
      </w:pPr>
      <w:r>
        <w:rPr>
          <w:rFonts w:hint="eastAsia"/>
          <w:lang w:val="en-US" w:eastAsia="zh-CN"/>
        </w:rPr>
        <w:drawing>
          <wp:inline distT="0" distB="0" distL="114300" distR="114300">
            <wp:extent cx="5257165" cy="2960370"/>
            <wp:effectExtent l="0" t="0" r="635" b="1143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0"/>
                    <a:stretch>
                      <a:fillRect/>
                    </a:stretch>
                  </pic:blipFill>
                  <pic:spPr>
                    <a:xfrm>
                      <a:off x="0" y="0"/>
                      <a:ext cx="5257165" cy="2960370"/>
                    </a:xfrm>
                    <a:prstGeom prst="rect">
                      <a:avLst/>
                    </a:prstGeom>
                  </pic:spPr>
                </pic:pic>
              </a:graphicData>
            </a:graphic>
          </wp:inline>
        </w:drawing>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7.生成年度数据库</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以国家下发的年度变更调查数据库的耕地和恢复地类图层为基础库，与新增、二级地类变化和质量建设图层、以及“三调”耕地资源质量分类数据库中的分类单元和扩充分类单元图层叠加，获取耕地资源质量分类的属性信息，更新县级耕地资源质量分类数据库。其中，坡度和二级地类直接采用年度变更调查数据库中的坡度和二级地类。</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需要注意的是：①更新范围以外的耕地资源质量分类指标原则上不得进行调整，但结合监测结果，发现原耕地资源质量分类结果中局部地区部分指标确实有明显错误不符合实际的，需由省级自然资源主管部门组织有关专家充分论证后正式向部提出调整申请。如有这部分内容的，需单独形成其他调整图层，一并叠加生成年度数据库。</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②耕地资源质量分类数据库中的耕地图斑位置、形状、面积等信息必须与变更调查数据库保持一致，不得对图斑进行切割与合并。</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③若耕地资源质量分类数据库中的耕地图斑是由上一年度耕地图斑与本年度更新数据包中的耕地图斑合并形成，则需在“县级分类单元属性结构描述表”中进行标注，同时按照以下规则进行图斑属性赋值：本年度更新数据包中的耕地图斑不是新增耕地时，则耕地资源质量分类数据库中耕地图斑的属性信息依据耕地图斑面积大的确定；本年度更新数据包中的耕地图斑是新增耕地时，则耕地资源质量分类数据库中耕地图斑的属性信息与新增耕地图斑保持一致。</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8.县级数据自查与成果汇总分析</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县级数据自查：耕地资源质量分类年度更新与监测工作成果形成后，一方面采用国家下发的质检软件，对数据的完整性、规范性、一致性等进行检查；另一方面要组织相关领域专家对全县各指标尤其是土壤指标的分布情况是否客观准确、符合实际进行充分论证，确保数据真实可靠。</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（2）成果汇总分析：汇总耕地资源质量分类结果，形成汇总表。分析、总结年度内耕地面积、分布的变化特征，形成县级耕地资源质量分类年度更新分析报告。</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9.成果逐级检查和上报</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（1）县级成果上报：将通过检查后的成果，包括县级年度更新数据包、年度更新数据库、年度监测数据库、县级耕地资源质量分类年度更新分析报告、数据表等上报至地市级自然资源主管部门。</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（2）地市级成果检查上报：地市级对县级上报成果进行质量检查，并在县级成果基础上，汇总形成地市级成果。通过检查后，将地市级成果和县级成果上报至省级自然资源管理部门。</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（3）省级成果检查上报：省级对地市级上报成果进行质量检查，并在县级成果基础上，汇总形成省级成果。省级自然资源管理部门按照规定的时间，将县级、地市级、省级成果上报到自然资源部。</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省级要组织相关领域专家对全省各指标尤其是土壤指标的分布情况是否符合实际进行充分论证，确保数据真实可靠。省级工作不仅仅是把市县级成果存放在一起和简单的表格汇总、数据分析，要形成全省各指标的分布图，看看分布规律是否符合实际，一定要在数据的客观准确性上把关负责。</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4）国家级成果检查汇总：部对通过省级检查合格的县级成果进行全面检查，将检查发现的问题反馈各省，由省级组织整改。对通过国家检查的全国耕地资源质量分类年度更新成果，由部组织开展入库与汇总分析工作。</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outlineLvl w:val="0"/>
        <w:rPr>
          <w:rFonts w:hint="eastAsia" w:ascii="宋体" w:hAnsi="宋体" w:eastAsia="宋体" w:cs="宋体"/>
          <w:b/>
          <w:bCs/>
          <w:sz w:val="24"/>
          <w:szCs w:val="24"/>
          <w:shd w:val="clear" w:color="auto" w:fill="FFFFFF"/>
          <w:lang w:val="en-US" w:eastAsia="zh-CN"/>
        </w:rPr>
      </w:pPr>
      <w:bookmarkStart w:id="77" w:name="_Toc26207"/>
      <w:r>
        <w:rPr>
          <w:rFonts w:hint="eastAsia" w:ascii="宋体" w:hAnsi="宋体" w:eastAsia="宋体" w:cs="宋体"/>
          <w:b/>
          <w:bCs/>
          <w:sz w:val="24"/>
          <w:szCs w:val="24"/>
          <w:shd w:val="clear" w:color="auto" w:fill="FFFFFF"/>
        </w:rPr>
        <w:t>五、</w:t>
      </w:r>
      <w:bookmarkEnd w:id="70"/>
      <w:bookmarkEnd w:id="71"/>
      <w:bookmarkEnd w:id="72"/>
      <w:bookmarkEnd w:id="73"/>
      <w:bookmarkEnd w:id="74"/>
      <w:r>
        <w:rPr>
          <w:rFonts w:hint="eastAsia" w:ascii="宋体" w:hAnsi="宋体" w:eastAsia="宋体" w:cs="宋体"/>
          <w:b/>
          <w:bCs/>
          <w:sz w:val="24"/>
          <w:szCs w:val="24"/>
          <w:shd w:val="clear" w:color="auto" w:fill="FFFFFF"/>
          <w:lang w:val="en-US" w:eastAsia="zh-CN"/>
        </w:rPr>
        <w:t>工作成果</w:t>
      </w:r>
      <w:bookmarkEnd w:id="77"/>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bookmarkStart w:id="78" w:name="_Toc11754"/>
      <w:bookmarkStart w:id="79" w:name="_Toc1880"/>
      <w:bookmarkStart w:id="80" w:name="_Toc6894"/>
      <w:bookmarkStart w:id="81" w:name="_Toc21307"/>
      <w:bookmarkStart w:id="82" w:name="_Toc11340_WPSOffice_Level1"/>
      <w:bookmarkStart w:id="83" w:name="_Toc526767383"/>
      <w:bookmarkStart w:id="84" w:name="_Toc526767323"/>
      <w:bookmarkStart w:id="85" w:name="_Toc5051_WPSOffice_Level1"/>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一</w:t>
      </w:r>
      <w:r>
        <w:rPr>
          <w:rFonts w:hint="eastAsia" w:ascii="宋体" w:hAnsi="宋体" w:eastAsia="宋体" w:cs="宋体"/>
          <w:b/>
          <w:bCs/>
          <w:color w:val="auto"/>
          <w:spacing w:val="0"/>
          <w:position w:val="0"/>
          <w:sz w:val="24"/>
          <w:szCs w:val="24"/>
          <w:highlight w:val="none"/>
          <w:shd w:val="clear" w:color="auto" w:fill="auto"/>
          <w:lang w:eastAsia="zh-CN"/>
        </w:rPr>
        <w:t>）</w:t>
      </w:r>
      <w:bookmarkEnd w:id="78"/>
      <w:bookmarkEnd w:id="79"/>
      <w:r>
        <w:rPr>
          <w:rFonts w:hint="eastAsia" w:ascii="宋体" w:hAnsi="宋体" w:eastAsia="宋体" w:cs="宋体"/>
          <w:b/>
          <w:bCs/>
          <w:color w:val="auto"/>
          <w:spacing w:val="0"/>
          <w:position w:val="0"/>
          <w:sz w:val="24"/>
          <w:szCs w:val="24"/>
          <w:highlight w:val="none"/>
          <w:shd w:val="clear" w:color="auto" w:fill="auto"/>
          <w:lang w:val="en-US" w:eastAsia="zh-CN"/>
        </w:rPr>
        <w:t>成果内容</w:t>
      </w:r>
      <w:bookmarkEnd w:id="80"/>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bookmarkStart w:id="86" w:name="_Toc2362"/>
      <w:r>
        <w:rPr>
          <w:rFonts w:hint="eastAsia" w:ascii="宋体" w:hAnsi="宋体" w:eastAsia="宋体" w:cs="宋体"/>
          <w:color w:val="auto"/>
          <w:spacing w:val="0"/>
          <w:position w:val="0"/>
          <w:sz w:val="24"/>
          <w:szCs w:val="24"/>
          <w:highlight w:val="none"/>
          <w:shd w:val="clear" w:color="auto" w:fill="auto"/>
          <w:lang w:val="en-US" w:eastAsia="zh-CN"/>
        </w:rPr>
        <w:t xml:space="preserve">1. </w:t>
      </w:r>
      <w:r>
        <w:rPr>
          <w:rFonts w:hint="default" w:ascii="宋体" w:hAnsi="宋体" w:eastAsia="宋体" w:cs="宋体"/>
          <w:color w:val="auto"/>
          <w:spacing w:val="0"/>
          <w:position w:val="0"/>
          <w:sz w:val="24"/>
          <w:szCs w:val="24"/>
          <w:highlight w:val="none"/>
          <w:shd w:val="clear" w:color="auto" w:fill="auto"/>
          <w:lang w:val="en-US" w:eastAsia="zh-CN"/>
        </w:rPr>
        <w:t>耕地资源质量分类年度更新数据库</w:t>
      </w:r>
      <w:r>
        <w:rPr>
          <w:rFonts w:hint="eastAsia" w:ascii="宋体" w:hAnsi="宋体" w:eastAsia="宋体" w:cs="宋体"/>
          <w:color w:val="auto"/>
          <w:spacing w:val="0"/>
          <w:position w:val="0"/>
          <w:sz w:val="24"/>
          <w:szCs w:val="24"/>
          <w:highlight w:val="none"/>
          <w:shd w:val="clear" w:color="auto" w:fill="auto"/>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 xml:space="preserve">2. </w:t>
      </w:r>
      <w:r>
        <w:rPr>
          <w:rFonts w:hint="default" w:ascii="宋体" w:hAnsi="宋体" w:eastAsia="宋体" w:cs="宋体"/>
          <w:color w:val="auto"/>
          <w:spacing w:val="0"/>
          <w:position w:val="0"/>
          <w:sz w:val="24"/>
          <w:szCs w:val="24"/>
          <w:highlight w:val="none"/>
          <w:shd w:val="clear" w:color="auto" w:fill="auto"/>
          <w:lang w:val="en-US" w:eastAsia="zh-CN"/>
        </w:rPr>
        <w:t>耕地资源质量分类年度监测数据库</w:t>
      </w:r>
      <w:r>
        <w:rPr>
          <w:rFonts w:hint="eastAsia" w:ascii="宋体" w:hAnsi="宋体" w:eastAsia="宋体" w:cs="宋体"/>
          <w:color w:val="auto"/>
          <w:spacing w:val="0"/>
          <w:position w:val="0"/>
          <w:sz w:val="24"/>
          <w:szCs w:val="24"/>
          <w:highlight w:val="none"/>
          <w:shd w:val="clear" w:color="auto" w:fill="auto"/>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 xml:space="preserve">3. </w:t>
      </w:r>
      <w:r>
        <w:rPr>
          <w:rFonts w:hint="default" w:ascii="宋体" w:hAnsi="宋体" w:eastAsia="宋体" w:cs="宋体"/>
          <w:color w:val="auto"/>
          <w:spacing w:val="0"/>
          <w:position w:val="0"/>
          <w:sz w:val="24"/>
          <w:szCs w:val="24"/>
          <w:highlight w:val="none"/>
          <w:shd w:val="clear" w:color="auto" w:fill="auto"/>
          <w:lang w:val="en-US" w:eastAsia="zh-CN"/>
        </w:rPr>
        <w:t>耕地资源质量监测样点汇总表</w:t>
      </w:r>
      <w:r>
        <w:rPr>
          <w:rFonts w:hint="eastAsia" w:ascii="宋体" w:hAnsi="宋体" w:eastAsia="宋体" w:cs="宋体"/>
          <w:color w:val="auto"/>
          <w:spacing w:val="0"/>
          <w:position w:val="0"/>
          <w:sz w:val="24"/>
          <w:szCs w:val="24"/>
          <w:highlight w:val="none"/>
          <w:shd w:val="clear" w:color="auto" w:fill="auto"/>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 xml:space="preserve">4. </w:t>
      </w:r>
      <w:r>
        <w:rPr>
          <w:rFonts w:hint="default" w:ascii="宋体" w:hAnsi="宋体" w:eastAsia="宋体" w:cs="宋体"/>
          <w:color w:val="auto"/>
          <w:spacing w:val="0"/>
          <w:position w:val="0"/>
          <w:sz w:val="24"/>
          <w:szCs w:val="24"/>
          <w:highlight w:val="none"/>
          <w:shd w:val="clear" w:color="auto" w:fill="auto"/>
          <w:lang w:val="en-US" w:eastAsia="zh-CN"/>
        </w:rPr>
        <w:t>土壤质地实验室分析化验</w:t>
      </w:r>
      <w:r>
        <w:rPr>
          <w:rFonts w:hint="eastAsia" w:ascii="宋体" w:hAnsi="宋体" w:eastAsia="宋体" w:cs="宋体"/>
          <w:color w:val="auto"/>
          <w:spacing w:val="0"/>
          <w:position w:val="0"/>
          <w:sz w:val="24"/>
          <w:szCs w:val="24"/>
          <w:highlight w:val="none"/>
          <w:shd w:val="clear" w:color="auto" w:fill="auto"/>
          <w:lang w:val="en-US" w:eastAsia="zh-CN"/>
        </w:rPr>
        <w:t>报告等。</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outlineLvl w:val="1"/>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二</w:t>
      </w:r>
      <w:r>
        <w:rPr>
          <w:rFonts w:hint="eastAsia" w:ascii="宋体" w:hAnsi="宋体" w:eastAsia="宋体" w:cs="宋体"/>
          <w:b/>
          <w:bCs/>
          <w:color w:val="auto"/>
          <w:spacing w:val="0"/>
          <w:position w:val="0"/>
          <w:sz w:val="24"/>
          <w:szCs w:val="24"/>
          <w:highlight w:val="none"/>
          <w:shd w:val="clear" w:color="auto" w:fill="auto"/>
          <w:lang w:eastAsia="zh-CN"/>
        </w:rPr>
        <w:t>）</w:t>
      </w:r>
      <w:r>
        <w:rPr>
          <w:rFonts w:hint="eastAsia" w:ascii="宋体" w:hAnsi="宋体" w:eastAsia="宋体" w:cs="宋体"/>
          <w:b/>
          <w:bCs/>
          <w:color w:val="auto"/>
          <w:spacing w:val="0"/>
          <w:position w:val="0"/>
          <w:sz w:val="24"/>
          <w:szCs w:val="24"/>
          <w:highlight w:val="none"/>
          <w:shd w:val="clear" w:color="auto" w:fill="auto"/>
          <w:lang w:val="en-US" w:eastAsia="zh-CN"/>
        </w:rPr>
        <w:t>成果要求</w:t>
      </w:r>
      <w:bookmarkEnd w:id="86"/>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1.数据库成果要求</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1）基本要求：数学基础和数据精度应与变更调查数据库保持一致。</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数据库内容：基础地理信息、分类单元、分类因素图层、实地调查或核实样点图层、辅助要素、新增耕地、新增恢复地类、减少耕地、减少恢复地类、二级地类发生变化耕地、质量建设耕地、质量建设恢复地类、监测样点等矢量数据和元数据。</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3）数据库结构与格式：数据库格式采用文件型GeoDatabase。</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4）数据库命名规则：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耕地资源质量分类数据库采用“县代码（6位）+年度（4位）+GDZYZLFL.GDB”命名规则；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耕地资源质量分类年度更新数据包采用“县代码（6位）+年度（4位）+NDGXB.GDB命名规则；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耕地资源质量分类年度监测数据库采用“县代码（6位）+年度（4位）+NDJCSJK.GDB命名规则。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2.数据成果要求</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1）基本要求：年度更新结果汇总表</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数据表内容：①年度更新成果：耕地资源质量分类面积汇总表、耕地资源质量分类面积汇总表-分行政区、新增耕地资源质量分类面积汇总表、新增耕地资源质量分类面积汇总表-分行政区、减少耕地资源质量分类面积汇总表、减少耕地资源质量分类面积汇总表-分行政区、二级地类变化耕地资源质量分类面积汇总表、二级地类变化耕地资源质量分类面积汇总表-分行政区、质量建设耕地资源质量分类面积汇总表、质量建设耕地资源质量分类面积汇总表-分行政区、其他耕地资源质量分类结果调整面积汇总表、其他耕地资源质量分类结果调整面积汇总表-分行政区、耕地资源质量分类组合类型面积汇总表；②年度监测成果：耕地资源质量分类监测汇总表。</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3）数据文件命名规则：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县级：县代码（6位）+县（区）名+20XX年度+表名；</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市级：市代码（6位）+县（区）名+20XX年度+表名；</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省级：省代码（2位）+省（区，市）名+20XX年度+表名。</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2" w:firstLineChars="200"/>
        <w:jc w:val="both"/>
        <w:textAlignment w:val="auto"/>
        <w:rPr>
          <w:rFonts w:hint="eastAsia" w:ascii="宋体" w:hAnsi="宋体" w:eastAsia="宋体" w:cs="宋体"/>
          <w:b/>
          <w:bCs/>
          <w:color w:val="auto"/>
          <w:spacing w:val="0"/>
          <w:position w:val="0"/>
          <w:sz w:val="24"/>
          <w:szCs w:val="24"/>
          <w:highlight w:val="none"/>
          <w:shd w:val="clear" w:color="auto" w:fill="auto"/>
          <w:lang w:val="en-US" w:eastAsia="zh-CN"/>
        </w:rPr>
      </w:pPr>
      <w:r>
        <w:rPr>
          <w:rFonts w:hint="eastAsia" w:ascii="宋体" w:hAnsi="宋体" w:eastAsia="宋体" w:cs="宋体"/>
          <w:b/>
          <w:bCs/>
          <w:color w:val="auto"/>
          <w:spacing w:val="0"/>
          <w:position w:val="0"/>
          <w:sz w:val="24"/>
          <w:szCs w:val="24"/>
          <w:highlight w:val="none"/>
          <w:shd w:val="clear" w:color="auto" w:fill="auto"/>
          <w:lang w:val="en-US" w:eastAsia="zh-CN"/>
        </w:rPr>
        <w:t>3.文字成果要求</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1）基本要求：系统总结整个工作开展情况，以及技术过程与成果分析等。</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2）文字报告命名规则：</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县级：县行政区划代码（6位）+县（市、区）名全称+报告名；</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地市：地市行政区划代码（4位）+地市名全称+报告名；</w:t>
      </w:r>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省级：省级行政区划代码（2位）+省名全称+报告名。</w:t>
      </w:r>
    </w:p>
    <w:bookmarkEnd w:id="81"/>
    <w:bookmarkEnd w:id="82"/>
    <w:bookmarkEnd w:id="83"/>
    <w:bookmarkEnd w:id="84"/>
    <w:bookmarkEnd w:id="85"/>
    <w:p>
      <w:pPr>
        <w:keepNext w:val="0"/>
        <w:keepLines w:val="0"/>
        <w:pageBreakBefore w:val="0"/>
        <w:kinsoku/>
        <w:overflowPunct/>
        <w:topLinePunct w:val="0"/>
        <w:autoSpaceDE/>
        <w:autoSpaceDN/>
        <w:bidi w:val="0"/>
        <w:adjustRightInd/>
        <w:snapToGrid/>
        <w:spacing w:line="440" w:lineRule="exact"/>
        <w:ind w:firstLine="482" w:firstLineChars="200"/>
        <w:rPr>
          <w:rFonts w:hint="eastAsia" w:ascii="宋体" w:hAnsi="宋体"/>
          <w:b/>
          <w:bCs/>
          <w:sz w:val="24"/>
          <w:szCs w:val="24"/>
          <w:lang w:val="en-US" w:eastAsia="zh-CN"/>
        </w:rPr>
      </w:pPr>
      <w:bookmarkStart w:id="87" w:name="_Toc28699"/>
      <w:r>
        <w:rPr>
          <w:rFonts w:hint="eastAsia" w:ascii="宋体" w:hAnsi="宋体"/>
          <w:b/>
          <w:bCs/>
          <w:sz w:val="24"/>
          <w:szCs w:val="24"/>
          <w:lang w:val="en-US" w:eastAsia="zh-CN"/>
        </w:rPr>
        <w:t>六、工作进度安排</w:t>
      </w:r>
      <w:bookmarkEnd w:id="87"/>
    </w:p>
    <w:p>
      <w:pPr>
        <w:keepNext w:val="0"/>
        <w:keepLines w:val="0"/>
        <w:pageBreakBefore w:val="0"/>
        <w:widowControl/>
        <w:numPr>
          <w:ilvl w:val="0"/>
          <w:numId w:val="0"/>
        </w:numPr>
        <w:kinsoku/>
        <w:wordWrap w:val="0"/>
        <w:overflowPunct/>
        <w:topLinePunct w:val="0"/>
        <w:autoSpaceDE/>
        <w:autoSpaceDN/>
        <w:bidi w:val="0"/>
        <w:adjustRightInd/>
        <w:snapToGrid w:val="0"/>
        <w:spacing w:before="0" w:line="420" w:lineRule="exact"/>
        <w:ind w:right="0" w:firstLine="480" w:firstLineChars="200"/>
        <w:jc w:val="both"/>
        <w:textAlignment w:val="auto"/>
        <w:rPr>
          <w:rFonts w:hint="eastAsia" w:ascii="宋体" w:hAnsi="宋体" w:eastAsia="宋体" w:cs="宋体"/>
          <w:color w:val="auto"/>
          <w:spacing w:val="0"/>
          <w:position w:val="0"/>
          <w:sz w:val="24"/>
          <w:szCs w:val="24"/>
          <w:highlight w:val="none"/>
          <w:shd w:val="clear" w:color="auto" w:fill="auto"/>
          <w:lang w:val="en-US" w:eastAsia="zh-CN"/>
        </w:rPr>
      </w:pPr>
      <w:r>
        <w:rPr>
          <w:rFonts w:hint="eastAsia" w:ascii="宋体" w:hAnsi="宋体" w:eastAsia="宋体" w:cs="宋体"/>
          <w:color w:val="auto"/>
          <w:spacing w:val="0"/>
          <w:position w:val="0"/>
          <w:sz w:val="24"/>
          <w:szCs w:val="24"/>
          <w:highlight w:val="none"/>
          <w:shd w:val="clear" w:color="auto" w:fill="auto"/>
          <w:lang w:val="en-US" w:eastAsia="zh-CN"/>
        </w:rPr>
        <w:t>合同签订后60日历天完成相应成果报告</w:t>
      </w:r>
    </w:p>
    <w:p>
      <w:pPr>
        <w:keepNext w:val="0"/>
        <w:keepLines w:val="0"/>
        <w:pageBreakBefore w:val="0"/>
        <w:kinsoku/>
        <w:overflowPunct/>
        <w:topLinePunct w:val="0"/>
        <w:autoSpaceDE/>
        <w:autoSpaceDN/>
        <w:bidi w:val="0"/>
        <w:adjustRightInd/>
        <w:snapToGrid/>
        <w:spacing w:line="440" w:lineRule="exact"/>
        <w:ind w:firstLine="482" w:firstLineChars="200"/>
        <w:rPr>
          <w:rFonts w:hint="eastAsia" w:ascii="宋体" w:hAnsi="宋体" w:eastAsia="宋体"/>
          <w:b/>
          <w:bCs/>
          <w:sz w:val="24"/>
          <w:szCs w:val="24"/>
        </w:rPr>
      </w:pPr>
      <w:r>
        <w:rPr>
          <w:rFonts w:hint="eastAsia" w:ascii="宋体" w:hAnsi="宋体"/>
          <w:b/>
          <w:bCs/>
          <w:sz w:val="24"/>
          <w:szCs w:val="24"/>
          <w:lang w:val="en-US" w:eastAsia="zh-CN"/>
        </w:rPr>
        <w:t>七</w:t>
      </w:r>
      <w:r>
        <w:rPr>
          <w:rFonts w:hint="eastAsia" w:ascii="宋体" w:hAnsi="宋体" w:eastAsia="宋体"/>
          <w:b/>
          <w:bCs/>
          <w:sz w:val="24"/>
          <w:szCs w:val="24"/>
          <w:lang w:val="en-US" w:eastAsia="zh-CN"/>
        </w:rPr>
        <w:t>、</w:t>
      </w:r>
      <w:r>
        <w:rPr>
          <w:rFonts w:hint="eastAsia" w:ascii="宋体" w:hAnsi="宋体" w:eastAsia="宋体"/>
          <w:b/>
          <w:bCs/>
          <w:sz w:val="24"/>
          <w:szCs w:val="24"/>
        </w:rPr>
        <w:t>付款方式</w:t>
      </w:r>
    </w:p>
    <w:p>
      <w:pPr>
        <w:spacing w:line="440" w:lineRule="exact"/>
        <w:ind w:firstLine="480" w:firstLineChars="200"/>
        <w:rPr>
          <w:rFonts w:hint="default" w:ascii="宋体" w:hAnsi="宋体" w:eastAsia="宋体" w:cs="Courier New"/>
          <w:kern w:val="0"/>
          <w:sz w:val="24"/>
          <w:szCs w:val="24"/>
          <w:lang w:val="en-US" w:eastAsia="zh-CN"/>
        </w:rPr>
      </w:pPr>
      <w:r>
        <w:rPr>
          <w:rFonts w:hint="eastAsia" w:ascii="宋体" w:hAnsi="宋体" w:cs="Courier New"/>
          <w:kern w:val="0"/>
          <w:sz w:val="24"/>
          <w:szCs w:val="24"/>
        </w:rPr>
        <w:t>具体付款方法在合同中约定。</w:t>
      </w:r>
    </w:p>
    <w:p>
      <w:pPr>
        <w:spacing w:line="440" w:lineRule="exact"/>
        <w:ind w:firstLine="643" w:firstLineChars="200"/>
        <w:rPr>
          <w:rFonts w:hint="eastAsia" w:ascii="宋体" w:hAnsi="宋体" w:cs="宋体"/>
          <w:b/>
          <w:bCs/>
          <w:sz w:val="32"/>
          <w:szCs w:val="32"/>
        </w:rPr>
      </w:pPr>
      <w:r>
        <w:rPr>
          <w:rFonts w:hint="eastAsia" w:ascii="宋体" w:hAnsi="宋体" w:cs="宋体"/>
          <w:b/>
          <w:bCs/>
          <w:sz w:val="32"/>
          <w:szCs w:val="32"/>
        </w:rPr>
        <w:t xml:space="preserve">         </w:t>
      </w:r>
      <w:bookmarkStart w:id="88" w:name="_Toc17645_WPSOffice_Level1"/>
    </w:p>
    <w:p>
      <w:pPr>
        <w:rPr>
          <w:rFonts w:hint="eastAsia" w:ascii="宋体" w:hAnsi="宋体" w:cs="宋体"/>
          <w:b/>
          <w:bCs/>
          <w:sz w:val="32"/>
          <w:szCs w:val="32"/>
        </w:rPr>
      </w:pPr>
      <w:r>
        <w:rPr>
          <w:rFonts w:hint="eastAsia" w:ascii="宋体" w:hAnsi="宋体" w:cs="宋体"/>
          <w:b/>
          <w:bCs/>
          <w:sz w:val="32"/>
          <w:szCs w:val="32"/>
        </w:rPr>
        <w:br w:type="page"/>
      </w:r>
    </w:p>
    <w:p>
      <w:pPr>
        <w:spacing w:line="440" w:lineRule="exact"/>
        <w:ind w:firstLine="1928" w:firstLineChars="600"/>
        <w:rPr>
          <w:rFonts w:hint="eastAsia" w:ascii="方正小标宋简体" w:hAnsi="宋体" w:eastAsia="宋体" w:cs="Batang"/>
          <w:sz w:val="44"/>
          <w:szCs w:val="44"/>
          <w:lang w:eastAsia="zh-CN"/>
        </w:rPr>
      </w:pPr>
      <w:r>
        <w:rPr>
          <w:rFonts w:hint="eastAsia" w:ascii="宋体" w:hAnsi="宋体" w:cs="宋体"/>
          <w:b/>
          <w:bCs/>
          <w:sz w:val="32"/>
          <w:szCs w:val="32"/>
        </w:rPr>
        <w:t>第四章  合同书（参考格式</w:t>
      </w:r>
      <w:bookmarkEnd w:id="88"/>
      <w:r>
        <w:rPr>
          <w:rFonts w:hint="eastAsia" w:ascii="宋体" w:hAnsi="宋体" w:cs="宋体"/>
          <w:b/>
          <w:bCs/>
          <w:sz w:val="32"/>
          <w:szCs w:val="32"/>
          <w:lang w:eastAsia="zh-CN"/>
        </w:rPr>
        <w:t>）</w:t>
      </w:r>
    </w:p>
    <w:p>
      <w:pPr>
        <w:spacing w:line="440" w:lineRule="exact"/>
        <w:ind w:firstLine="787" w:firstLineChars="196"/>
        <w:jc w:val="center"/>
        <w:rPr>
          <w:rFonts w:ascii="宋体" w:hAnsi="宋体"/>
          <w:b/>
          <w:color w:val="000000"/>
          <w:sz w:val="40"/>
          <w:szCs w:val="40"/>
        </w:rPr>
      </w:pPr>
    </w:p>
    <w:p>
      <w:pPr>
        <w:keepNext w:val="0"/>
        <w:keepLines w:val="0"/>
        <w:pageBreakBefore w:val="0"/>
        <w:widowControl w:val="0"/>
        <w:kinsoku/>
        <w:wordWrap/>
        <w:overflowPunct/>
        <w:topLinePunct w:val="0"/>
        <w:bidi w:val="0"/>
        <w:snapToGrid/>
        <w:spacing w:line="360" w:lineRule="auto"/>
        <w:ind w:firstLine="588" w:firstLineChars="245"/>
        <w:textAlignment w:val="auto"/>
        <w:rPr>
          <w:rFonts w:ascii="宋体" w:hAnsi="宋体"/>
          <w:sz w:val="24"/>
          <w:szCs w:val="24"/>
        </w:rPr>
      </w:pPr>
      <w:r>
        <w:rPr>
          <w:rFonts w:ascii="宋体" w:hAnsi="宋体"/>
          <w:sz w:val="24"/>
          <w:szCs w:val="24"/>
        </w:rPr>
        <w:t>（根据《政府采购法》和《</w:t>
      </w:r>
      <w:r>
        <w:rPr>
          <w:rFonts w:hint="eastAsia" w:ascii="宋体" w:hAnsi="宋体"/>
          <w:sz w:val="24"/>
          <w:szCs w:val="24"/>
          <w:lang w:val="en-US" w:eastAsia="zh-CN"/>
        </w:rPr>
        <w:t>民法典</w:t>
      </w:r>
      <w:r>
        <w:rPr>
          <w:rFonts w:ascii="宋体" w:hAnsi="宋体"/>
          <w:sz w:val="24"/>
          <w:szCs w:val="24"/>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snapToGrid/>
        <w:spacing w:line="360" w:lineRule="auto"/>
        <w:ind w:firstLine="539" w:firstLineChars="245"/>
        <w:textAlignment w:val="auto"/>
        <w:rPr>
          <w:rFonts w:ascii="宋体" w:hAnsi="宋体"/>
          <w:spacing w:val="-10"/>
          <w:sz w:val="24"/>
          <w:szCs w:val="24"/>
        </w:rPr>
      </w:pPr>
    </w:p>
    <w:p>
      <w:pPr>
        <w:keepNext w:val="0"/>
        <w:keepLines w:val="0"/>
        <w:pageBreakBefore w:val="0"/>
        <w:widowControl w:val="0"/>
        <w:kinsoku/>
        <w:wordWrap/>
        <w:overflowPunct/>
        <w:topLinePunct w:val="0"/>
        <w:bidi w:val="0"/>
        <w:snapToGrid/>
        <w:spacing w:line="360" w:lineRule="auto"/>
        <w:ind w:firstLine="540"/>
        <w:jc w:val="center"/>
        <w:textAlignment w:val="auto"/>
        <w:rPr>
          <w:rFonts w:ascii="宋体" w:hAnsi="宋体"/>
          <w:kern w:val="0"/>
          <w:sz w:val="24"/>
          <w:szCs w:val="24"/>
        </w:rPr>
      </w:pPr>
      <w:bookmarkStart w:id="89" w:name="_Toc20537_WPSOffice_Level2"/>
      <w:r>
        <w:rPr>
          <w:rFonts w:ascii="宋体" w:hAnsi="宋体"/>
          <w:kern w:val="0"/>
          <w:sz w:val="24"/>
          <w:szCs w:val="24"/>
        </w:rPr>
        <w:t>合   同   书</w:t>
      </w:r>
      <w:bookmarkEnd w:id="89"/>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项目名称：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签订日期：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签订合同地点：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rPr>
      </w:pPr>
      <w:r>
        <w:rPr>
          <w:rFonts w:ascii="宋体" w:hAnsi="宋体"/>
          <w:sz w:val="24"/>
          <w:szCs w:val="24"/>
        </w:rPr>
        <w:t>本合同由      （以下简称“需方”）与         （以下简称“供方”）签订。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供方以总金额      万元人民币（用大写数字书写）向需方提供如下货物</w:t>
      </w:r>
      <w:r>
        <w:rPr>
          <w:rFonts w:hint="eastAsia" w:ascii="宋体" w:hAnsi="宋体"/>
          <w:kern w:val="0"/>
          <w:sz w:val="24"/>
          <w:szCs w:val="24"/>
        </w:rPr>
        <w:t>（工程、服务）</w:t>
      </w:r>
      <w:r>
        <w:rPr>
          <w:rFonts w:ascii="宋体" w:hAnsi="宋体"/>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1.本合同供、需双方必须遵守国家颁布的《中华人民共和国</w:t>
      </w:r>
      <w:r>
        <w:rPr>
          <w:rFonts w:hint="eastAsia" w:ascii="宋体" w:hAnsi="宋体"/>
          <w:kern w:val="0"/>
          <w:sz w:val="24"/>
          <w:szCs w:val="24"/>
          <w:lang w:val="en-US" w:eastAsia="zh-CN"/>
        </w:rPr>
        <w:t>民法典</w:t>
      </w:r>
      <w:r>
        <w:rPr>
          <w:rFonts w:ascii="宋体" w:hAnsi="宋体"/>
          <w:kern w:val="0"/>
          <w:sz w:val="24"/>
          <w:szCs w:val="24"/>
        </w:rPr>
        <w:t>》、《中华人民共和国政府采购法》，并各自履行应负的全部责任和义务。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3.供方保证全部按合同条款规定的内容和实施周期向需方提供合格的货物（</w:t>
      </w:r>
      <w:r>
        <w:rPr>
          <w:rFonts w:hint="eastAsia" w:ascii="宋体" w:hAnsi="宋体"/>
          <w:kern w:val="0"/>
          <w:sz w:val="24"/>
          <w:szCs w:val="24"/>
        </w:rPr>
        <w:t>工程、</w:t>
      </w:r>
      <w:r>
        <w:rPr>
          <w:rFonts w:ascii="宋体" w:hAnsi="宋体"/>
          <w:kern w:val="0"/>
          <w:sz w:val="24"/>
          <w:szCs w:val="24"/>
        </w:rPr>
        <w:t>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jc w:val="left"/>
        <w:textAlignment w:val="auto"/>
        <w:rPr>
          <w:rFonts w:ascii="宋体" w:hAnsi="宋体"/>
          <w:kern w:val="0"/>
          <w:sz w:val="24"/>
          <w:szCs w:val="24"/>
        </w:rPr>
      </w:pPr>
      <w:r>
        <w:rPr>
          <w:rFonts w:ascii="宋体" w:hAnsi="宋体"/>
          <w:kern w:val="0"/>
          <w:sz w:val="24"/>
          <w:szCs w:val="24"/>
        </w:rPr>
        <w:t>4.合同文件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4.1</w:t>
      </w:r>
      <w:r>
        <w:rPr>
          <w:rFonts w:hint="eastAsia" w:ascii="宋体" w:hAnsi="宋体"/>
          <w:kern w:val="0"/>
          <w:sz w:val="24"/>
          <w:szCs w:val="24"/>
        </w:rPr>
        <w:t>询价文件</w:t>
      </w:r>
      <w:r>
        <w:rPr>
          <w:rFonts w:ascii="宋体" w:hAnsi="宋体"/>
          <w:kern w:val="0"/>
          <w:sz w:val="24"/>
          <w:szCs w:val="24"/>
        </w:rPr>
        <w:t>(编号：</w:t>
      </w:r>
      <w:r>
        <w:rPr>
          <w:rFonts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4.2供方成交的</w:t>
      </w:r>
      <w:r>
        <w:rPr>
          <w:rFonts w:hint="eastAsia" w:ascii="宋体" w:hAnsi="宋体"/>
          <w:kern w:val="0"/>
          <w:sz w:val="24"/>
          <w:szCs w:val="24"/>
        </w:rPr>
        <w:t>响应文件</w:t>
      </w:r>
      <w:r>
        <w:rPr>
          <w:rFonts w:ascii="宋体" w:hAnsi="宋体"/>
          <w:kern w:val="0"/>
          <w:sz w:val="24"/>
          <w:szCs w:val="24"/>
        </w:rPr>
        <w:t>（副本）；</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4.3合同书；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4.4合同条款；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4.5</w:t>
      </w:r>
      <w:r>
        <w:rPr>
          <w:rFonts w:hint="eastAsia" w:ascii="宋体" w:hAnsi="宋体"/>
          <w:kern w:val="0"/>
          <w:sz w:val="24"/>
          <w:szCs w:val="24"/>
        </w:rPr>
        <w:t>（采购代理机构名称）</w:t>
      </w:r>
      <w:r>
        <w:rPr>
          <w:rFonts w:ascii="宋体" w:hAnsi="宋体"/>
          <w:kern w:val="0"/>
          <w:sz w:val="24"/>
          <w:szCs w:val="24"/>
        </w:rPr>
        <w:t>发出的成交通知书；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5.合同范围和条件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6.货物</w:t>
      </w:r>
      <w:r>
        <w:rPr>
          <w:rFonts w:hint="eastAsia" w:ascii="宋体" w:hAnsi="宋体"/>
          <w:kern w:val="0"/>
          <w:sz w:val="24"/>
          <w:szCs w:val="24"/>
        </w:rPr>
        <w:t>（工程、服务）</w:t>
      </w:r>
      <w:r>
        <w:rPr>
          <w:rFonts w:ascii="宋体" w:hAnsi="宋体"/>
          <w:kern w:val="0"/>
          <w:sz w:val="24"/>
          <w:szCs w:val="24"/>
        </w:rPr>
        <w:t>及数量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本合同所提供的货物</w:t>
      </w:r>
      <w:r>
        <w:rPr>
          <w:rFonts w:hint="eastAsia" w:ascii="宋体" w:hAnsi="宋体"/>
          <w:kern w:val="0"/>
          <w:sz w:val="24"/>
          <w:szCs w:val="24"/>
        </w:rPr>
        <w:t>（工程、服务）</w:t>
      </w:r>
      <w:r>
        <w:rPr>
          <w:rFonts w:ascii="宋体" w:hAnsi="宋体"/>
          <w:kern w:val="0"/>
          <w:sz w:val="24"/>
          <w:szCs w:val="24"/>
        </w:rPr>
        <w:t>及数量详见</w:t>
      </w:r>
      <w:r>
        <w:rPr>
          <w:rFonts w:hint="eastAsia" w:ascii="宋体" w:hAnsi="宋体"/>
          <w:kern w:val="0"/>
          <w:sz w:val="24"/>
          <w:szCs w:val="24"/>
        </w:rPr>
        <w:t>询价文件</w:t>
      </w:r>
      <w:r>
        <w:rPr>
          <w:rFonts w:ascii="宋体" w:hAnsi="宋体"/>
          <w:kern w:val="0"/>
          <w:sz w:val="24"/>
          <w:szCs w:val="24"/>
        </w:rPr>
        <w:t>的要求及供方</w:t>
      </w:r>
      <w:r>
        <w:rPr>
          <w:rFonts w:hint="eastAsia" w:ascii="宋体" w:hAnsi="宋体"/>
          <w:kern w:val="0"/>
          <w:sz w:val="24"/>
          <w:szCs w:val="24"/>
        </w:rPr>
        <w:t>响应文件</w:t>
      </w:r>
      <w:r>
        <w:rPr>
          <w:rFonts w:ascii="宋体" w:hAnsi="宋体"/>
          <w:kern w:val="0"/>
          <w:sz w:val="24"/>
          <w:szCs w:val="24"/>
        </w:rPr>
        <w:t>中的承诺。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7.付款方式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本合同的付款条件在</w:t>
      </w:r>
      <w:r>
        <w:rPr>
          <w:rFonts w:hint="eastAsia" w:ascii="宋体" w:hAnsi="宋体"/>
          <w:kern w:val="0"/>
          <w:sz w:val="24"/>
          <w:szCs w:val="24"/>
        </w:rPr>
        <w:t>询价文件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8.合同金额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合同总金额：人民币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9.实施时间和地点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本合同中货物</w:t>
      </w:r>
      <w:r>
        <w:rPr>
          <w:rFonts w:hint="eastAsia" w:ascii="宋体" w:hAnsi="宋体"/>
          <w:kern w:val="0"/>
          <w:sz w:val="24"/>
          <w:szCs w:val="24"/>
        </w:rPr>
        <w:t>（工程、服务）</w:t>
      </w:r>
      <w:r>
        <w:rPr>
          <w:rFonts w:ascii="宋体" w:hAnsi="宋体"/>
          <w:kern w:val="0"/>
          <w:sz w:val="24"/>
          <w:szCs w:val="24"/>
        </w:rPr>
        <w:t>的实施时间、地点在</w:t>
      </w:r>
      <w:r>
        <w:rPr>
          <w:rFonts w:hint="eastAsia" w:ascii="宋体" w:hAnsi="宋体"/>
          <w:kern w:val="0"/>
          <w:sz w:val="24"/>
          <w:szCs w:val="24"/>
        </w:rPr>
        <w:t>询价文件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10.合同生效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11.合同的份数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本合同正本一式　　份，需方执　　份，供方执　　份；副本一式　　份，需方执　　份，供方执　　份，</w:t>
      </w:r>
      <w:r>
        <w:rPr>
          <w:rFonts w:hint="eastAsia" w:ascii="宋体" w:hAnsi="宋体"/>
          <w:kern w:val="0"/>
          <w:sz w:val="24"/>
          <w:szCs w:val="24"/>
        </w:rPr>
        <w:t>仙桃市</w:t>
      </w:r>
      <w:r>
        <w:rPr>
          <w:rFonts w:ascii="宋体" w:hAnsi="宋体"/>
          <w:kern w:val="0"/>
          <w:sz w:val="24"/>
          <w:szCs w:val="24"/>
        </w:rPr>
        <w:t>政府采购办公室壹份备案。</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需　　方：</w:t>
      </w:r>
      <w:r>
        <w:rPr>
          <w:rFonts w:ascii="宋体" w:hAnsi="宋体"/>
          <w:kern w:val="0"/>
          <w:sz w:val="24"/>
          <w:szCs w:val="24"/>
        </w:rPr>
        <w:tab/>
      </w:r>
      <w:r>
        <w:rPr>
          <w:rFonts w:ascii="宋体" w:hAnsi="宋体"/>
          <w:kern w:val="0"/>
          <w:sz w:val="24"/>
          <w:szCs w:val="24"/>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单位名称（盖章）：</w:t>
      </w:r>
      <w:r>
        <w:rPr>
          <w:rFonts w:ascii="宋体" w:hAnsi="宋体"/>
          <w:kern w:val="0"/>
          <w:sz w:val="24"/>
          <w:szCs w:val="24"/>
        </w:rPr>
        <w:tab/>
      </w:r>
      <w:r>
        <w:rPr>
          <w:rFonts w:ascii="宋体" w:hAnsi="宋体"/>
          <w:kern w:val="0"/>
          <w:sz w:val="24"/>
          <w:szCs w:val="24"/>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单位地址：</w:t>
      </w:r>
      <w:r>
        <w:rPr>
          <w:rFonts w:ascii="宋体" w:hAnsi="宋体"/>
          <w:kern w:val="0"/>
          <w:sz w:val="24"/>
          <w:szCs w:val="24"/>
        </w:rPr>
        <w:tab/>
      </w:r>
      <w:r>
        <w:rPr>
          <w:rFonts w:ascii="宋体" w:hAnsi="宋体"/>
          <w:kern w:val="0"/>
          <w:sz w:val="24"/>
          <w:szCs w:val="24"/>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jc w:val="left"/>
        <w:textAlignment w:val="auto"/>
        <w:rPr>
          <w:rFonts w:ascii="宋体" w:hAnsi="宋体"/>
          <w:kern w:val="0"/>
          <w:sz w:val="24"/>
          <w:szCs w:val="24"/>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代表授权人(签字)：</w:t>
      </w:r>
      <w:r>
        <w:rPr>
          <w:rFonts w:hint="eastAsia" w:ascii="宋体" w:hAnsi="宋体"/>
          <w:kern w:val="0"/>
          <w:sz w:val="24"/>
          <w:szCs w:val="24"/>
        </w:rPr>
        <w:t xml:space="preserve">   </w:t>
      </w: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w:t>
      </w:r>
      <w:r>
        <w:rPr>
          <w:rFonts w:hint="eastAsia" w:ascii="宋体" w:hAnsi="宋体"/>
          <w:kern w:val="0"/>
          <w:sz w:val="24"/>
          <w:szCs w:val="24"/>
        </w:rPr>
        <w:t xml:space="preserve"> </w:t>
      </w:r>
      <w:r>
        <w:rPr>
          <w:rFonts w:ascii="宋体" w:hAnsi="宋体"/>
          <w:kern w:val="0"/>
          <w:sz w:val="24"/>
          <w:szCs w:val="24"/>
        </w:rPr>
        <w:t>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联 系 人：</w:t>
      </w:r>
      <w:r>
        <w:rPr>
          <w:rFonts w:ascii="宋体" w:hAnsi="宋体"/>
          <w:kern w:val="0"/>
          <w:sz w:val="24"/>
          <w:szCs w:val="24"/>
        </w:rPr>
        <w:tab/>
      </w:r>
      <w:r>
        <w:rPr>
          <w:rFonts w:ascii="宋体" w:hAnsi="宋体"/>
          <w:kern w:val="0"/>
          <w:sz w:val="24"/>
          <w:szCs w:val="24"/>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电　　话：</w:t>
      </w:r>
      <w:r>
        <w:rPr>
          <w:rFonts w:ascii="宋体" w:hAnsi="宋体"/>
          <w:kern w:val="0"/>
          <w:sz w:val="24"/>
          <w:szCs w:val="24"/>
        </w:rPr>
        <w:tab/>
      </w:r>
      <w:r>
        <w:rPr>
          <w:rFonts w:ascii="宋体" w:hAnsi="宋体"/>
          <w:kern w:val="0"/>
          <w:sz w:val="24"/>
          <w:szCs w:val="24"/>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传　　真：</w:t>
      </w:r>
      <w:r>
        <w:rPr>
          <w:rFonts w:ascii="宋体" w:hAnsi="宋体"/>
          <w:kern w:val="0"/>
          <w:sz w:val="24"/>
          <w:szCs w:val="24"/>
        </w:rPr>
        <w:tab/>
      </w:r>
      <w:r>
        <w:rPr>
          <w:rFonts w:ascii="宋体" w:hAnsi="宋体"/>
          <w:kern w:val="0"/>
          <w:sz w:val="24"/>
          <w:szCs w:val="24"/>
        </w:rPr>
        <w:t>传　　真：</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邮政编码：</w:t>
      </w:r>
      <w:r>
        <w:rPr>
          <w:rFonts w:ascii="宋体" w:hAnsi="宋体"/>
          <w:kern w:val="0"/>
          <w:sz w:val="24"/>
          <w:szCs w:val="24"/>
        </w:rPr>
        <w:tab/>
      </w:r>
      <w:r>
        <w:rPr>
          <w:rFonts w:ascii="宋体" w:hAnsi="宋体"/>
          <w:kern w:val="0"/>
          <w:sz w:val="24"/>
          <w:szCs w:val="24"/>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开户银行：</w:t>
      </w:r>
      <w:r>
        <w:rPr>
          <w:rFonts w:ascii="宋体" w:hAnsi="宋体"/>
          <w:kern w:val="0"/>
          <w:sz w:val="24"/>
          <w:szCs w:val="24"/>
        </w:rPr>
        <w:tab/>
      </w:r>
      <w:r>
        <w:rPr>
          <w:rFonts w:ascii="宋体" w:hAnsi="宋体"/>
          <w:kern w:val="0"/>
          <w:sz w:val="24"/>
          <w:szCs w:val="24"/>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帐　　号：</w:t>
      </w:r>
      <w:r>
        <w:rPr>
          <w:rFonts w:ascii="宋体" w:hAnsi="宋体"/>
          <w:kern w:val="0"/>
          <w:sz w:val="24"/>
          <w:szCs w:val="24"/>
        </w:rPr>
        <w:tab/>
      </w:r>
      <w:r>
        <w:rPr>
          <w:rFonts w:ascii="宋体" w:hAnsi="宋体"/>
          <w:kern w:val="0"/>
          <w:sz w:val="24"/>
          <w:szCs w:val="24"/>
        </w:rPr>
        <w:t>帐　　号：</w:t>
      </w:r>
    </w:p>
    <w:p>
      <w:pPr>
        <w:keepNext w:val="0"/>
        <w:keepLines w:val="0"/>
        <w:pageBreakBefore w:val="0"/>
        <w:widowControl w:val="0"/>
        <w:kinsoku/>
        <w:wordWrap/>
        <w:overflowPunct/>
        <w:topLinePunct w:val="0"/>
        <w:bidi w:val="0"/>
        <w:snapToGrid/>
        <w:spacing w:line="360" w:lineRule="auto"/>
        <w:textAlignment w:val="auto"/>
        <w:rPr>
          <w:rFonts w:hint="eastAsia"/>
          <w:sz w:val="24"/>
          <w:szCs w:val="24"/>
        </w:rPr>
      </w:pPr>
      <w:r>
        <w:rPr>
          <w:rFonts w:ascii="宋体" w:hAnsi="宋体"/>
          <w:kern w:val="0"/>
          <w:sz w:val="24"/>
          <w:szCs w:val="24"/>
        </w:rPr>
        <w:tab/>
      </w:r>
      <w:r>
        <w:rPr>
          <w:rFonts w:ascii="宋体" w:hAnsi="宋体"/>
          <w:kern w:val="0"/>
          <w:sz w:val="24"/>
          <w:szCs w:val="24"/>
        </w:rPr>
        <w:t xml:space="preserve"> 税　　号：                     </w:t>
      </w:r>
      <w:r>
        <w:rPr>
          <w:rFonts w:hint="eastAsia" w:ascii="宋体" w:hAnsi="宋体"/>
          <w:kern w:val="0"/>
          <w:sz w:val="24"/>
          <w:szCs w:val="24"/>
          <w:lang w:val="en-US" w:eastAsia="zh-CN"/>
        </w:rPr>
        <w:t xml:space="preserve">     </w:t>
      </w:r>
      <w:r>
        <w:rPr>
          <w:rFonts w:ascii="宋体" w:hAnsi="宋体"/>
          <w:kern w:val="0"/>
          <w:sz w:val="24"/>
          <w:szCs w:val="24"/>
        </w:rPr>
        <w:t>税　　号</w:t>
      </w:r>
      <w:r>
        <w:rPr>
          <w:kern w:val="0"/>
          <w:sz w:val="24"/>
          <w:szCs w:val="24"/>
        </w:rPr>
        <w:t>：</w:t>
      </w:r>
    </w:p>
    <w:p>
      <w:pPr>
        <w:spacing w:line="440" w:lineRule="exact"/>
        <w:jc w:val="both"/>
        <w:rPr>
          <w:rFonts w:hint="eastAsia"/>
          <w:b/>
          <w:bCs/>
          <w:sz w:val="36"/>
          <w:szCs w:val="36"/>
        </w:rPr>
      </w:pPr>
    </w:p>
    <w:p>
      <w:pPr>
        <w:rPr>
          <w:rFonts w:hint="eastAsia"/>
          <w:b/>
          <w:bCs/>
          <w:sz w:val="44"/>
          <w:szCs w:val="44"/>
        </w:rPr>
      </w:pPr>
      <w:bookmarkStart w:id="90" w:name="_Toc20746_WPSOffice_Level1"/>
      <w:r>
        <w:rPr>
          <w:rFonts w:hint="eastAsia"/>
          <w:b/>
          <w:bCs/>
          <w:sz w:val="44"/>
          <w:szCs w:val="44"/>
        </w:rPr>
        <w:br w:type="page"/>
      </w:r>
    </w:p>
    <w:p>
      <w:pPr>
        <w:spacing w:line="440" w:lineRule="exact"/>
        <w:jc w:val="center"/>
        <w:rPr>
          <w:rFonts w:hint="eastAsia"/>
          <w:sz w:val="32"/>
          <w:szCs w:val="32"/>
        </w:rPr>
      </w:pPr>
      <w:r>
        <w:rPr>
          <w:rFonts w:hint="eastAsia"/>
          <w:b/>
          <w:bCs/>
          <w:sz w:val="32"/>
          <w:szCs w:val="32"/>
        </w:rPr>
        <w:t>第五章  响应文件格式（参考）</w:t>
      </w:r>
      <w:bookmarkEnd w:id="90"/>
    </w:p>
    <w:p>
      <w:pPr>
        <w:spacing w:line="440" w:lineRule="exact"/>
        <w:jc w:val="center"/>
        <w:rPr>
          <w:rFonts w:hint="eastAsia"/>
          <w:sz w:val="52"/>
          <w:szCs w:val="52"/>
        </w:rPr>
      </w:pPr>
    </w:p>
    <w:p>
      <w:pPr>
        <w:spacing w:line="2000" w:lineRule="exact"/>
        <w:jc w:val="center"/>
        <w:rPr>
          <w:rFonts w:ascii="宋体" w:hAnsi="宋体"/>
          <w:b/>
          <w:bCs/>
          <w:color w:val="000000"/>
          <w:sz w:val="48"/>
          <w:szCs w:val="48"/>
        </w:rPr>
      </w:pPr>
      <w:bookmarkStart w:id="91" w:name="_Toc3929_WPSOffice_Level1"/>
      <w:bookmarkStart w:id="92" w:name="_Toc4585_WPSOffice_Level1"/>
      <w:bookmarkStart w:id="93" w:name="_Toc12558_WPSOffice_Level1"/>
      <w:r>
        <w:rPr>
          <w:rFonts w:hint="eastAsia"/>
          <w:sz w:val="48"/>
          <w:szCs w:val="48"/>
        </w:rPr>
        <w:t>湖北省仙桃市</w:t>
      </w:r>
      <w:r>
        <w:rPr>
          <w:sz w:val="48"/>
          <w:szCs w:val="48"/>
        </w:rPr>
        <w:t>政府采购</w:t>
      </w:r>
      <w:bookmarkEnd w:id="91"/>
      <w:bookmarkEnd w:id="92"/>
      <w:bookmarkEnd w:id="93"/>
    </w:p>
    <w:p>
      <w:pPr>
        <w:pStyle w:val="10"/>
        <w:tabs>
          <w:tab w:val="left" w:pos="1260"/>
        </w:tabs>
        <w:spacing w:line="2000" w:lineRule="exact"/>
        <w:jc w:val="center"/>
        <w:rPr>
          <w:rFonts w:hint="eastAsia" w:ascii="Times New Roman" w:hAnsi="Times New Roman" w:eastAsia="宋体"/>
          <w:bCs/>
          <w:color w:val="000000"/>
          <w:spacing w:val="100"/>
          <w:w w:val="110"/>
          <w:kern w:val="0"/>
          <w:sz w:val="100"/>
          <w:szCs w:val="100"/>
        </w:rPr>
      </w:pPr>
      <w:bookmarkStart w:id="94" w:name="_Toc17153_WPSOffice_Level1"/>
      <w:bookmarkStart w:id="95" w:name="_Toc8027_WPSOffice_Level1"/>
      <w:bookmarkStart w:id="96" w:name="_Toc20239_WPSOffice_Level1"/>
      <w:r>
        <w:rPr>
          <w:rFonts w:hint="eastAsia" w:ascii="Times New Roman" w:hAnsi="Times New Roman" w:eastAsia="宋体"/>
          <w:bCs/>
          <w:color w:val="000000"/>
          <w:spacing w:val="100"/>
          <w:w w:val="110"/>
          <w:kern w:val="0"/>
          <w:sz w:val="100"/>
          <w:szCs w:val="100"/>
        </w:rPr>
        <w:t>响应文件</w:t>
      </w:r>
      <w:bookmarkEnd w:id="94"/>
      <w:bookmarkEnd w:id="95"/>
      <w:bookmarkEnd w:id="96"/>
    </w:p>
    <w:p>
      <w:pPr>
        <w:spacing w:line="2000" w:lineRule="exact"/>
        <w:jc w:val="center"/>
        <w:rPr>
          <w:rFonts w:ascii="宋体" w:hAnsi="宋体"/>
          <w:sz w:val="32"/>
          <w:szCs w:val="32"/>
        </w:rPr>
      </w:pPr>
      <w:bookmarkStart w:id="97" w:name="_Toc26798_WPSOffice_Level1"/>
      <w:bookmarkStart w:id="98" w:name="_Toc23435_WPSOffice_Level1"/>
      <w:bookmarkStart w:id="99" w:name="_Toc23292_WPSOffice_Level1"/>
      <w:r>
        <w:rPr>
          <w:rFonts w:hint="eastAsia" w:ascii="宋体" w:hAnsi="宋体"/>
          <w:sz w:val="32"/>
          <w:szCs w:val="32"/>
        </w:rPr>
        <w:t>（正本/副本）</w:t>
      </w:r>
      <w:bookmarkEnd w:id="97"/>
      <w:bookmarkEnd w:id="98"/>
      <w:bookmarkEnd w:id="99"/>
    </w:p>
    <w:p>
      <w:pPr>
        <w:spacing w:line="440" w:lineRule="exact"/>
        <w:jc w:val="center"/>
        <w:rPr>
          <w:sz w:val="44"/>
        </w:rPr>
      </w:pPr>
    </w:p>
    <w:p>
      <w:pPr>
        <w:spacing w:line="440" w:lineRule="exact"/>
        <w:jc w:val="center"/>
        <w:rPr>
          <w:sz w:val="44"/>
        </w:rPr>
      </w:pPr>
    </w:p>
    <w:p>
      <w:pPr>
        <w:spacing w:line="440" w:lineRule="exact"/>
        <w:ind w:firstLine="1440"/>
        <w:rPr>
          <w:rFonts w:ascii="宋体" w:hAnsi="宋体"/>
          <w:bCs/>
          <w:sz w:val="28"/>
          <w:szCs w:val="28"/>
        </w:rPr>
      </w:pPr>
    </w:p>
    <w:p>
      <w:pPr>
        <w:spacing w:line="440" w:lineRule="exact"/>
        <w:ind w:firstLine="1440"/>
        <w:rPr>
          <w:rFonts w:ascii="宋体" w:hAnsi="宋体"/>
          <w:bCs/>
          <w:sz w:val="28"/>
          <w:szCs w:val="28"/>
        </w:rPr>
      </w:pPr>
      <w:r>
        <w:rPr>
          <w:rFonts w:ascii="宋体" w:hAnsi="宋体"/>
          <w:bCs/>
          <w:sz w:val="28"/>
          <w:szCs w:val="28"/>
        </w:rPr>
        <w:t>项目编号：</w:t>
      </w:r>
      <w:r>
        <w:rPr>
          <w:rFonts w:ascii="宋体" w:hAnsi="宋体"/>
          <w:bCs/>
          <w:sz w:val="28"/>
          <w:szCs w:val="28"/>
          <w:u w:val="single"/>
        </w:rPr>
        <w:t xml:space="preserve">                       </w:t>
      </w:r>
    </w:p>
    <w:p>
      <w:pPr>
        <w:tabs>
          <w:tab w:val="left" w:pos="3240"/>
        </w:tabs>
        <w:spacing w:line="440" w:lineRule="exact"/>
        <w:ind w:firstLine="1440"/>
        <w:rPr>
          <w:rFonts w:ascii="宋体" w:hAnsi="宋体"/>
          <w:bCs/>
          <w:sz w:val="28"/>
          <w:szCs w:val="28"/>
          <w:u w:val="single"/>
        </w:rPr>
      </w:pPr>
      <w:r>
        <w:rPr>
          <w:rFonts w:ascii="宋体" w:hAnsi="宋体"/>
          <w:bCs/>
          <w:sz w:val="28"/>
          <w:szCs w:val="28"/>
        </w:rPr>
        <w:t>项目名称</w:t>
      </w:r>
      <w:r>
        <w:rPr>
          <w:rFonts w:hint="eastAsia" w:ascii="宋体" w:hAnsi="宋体"/>
          <w:bCs/>
          <w:sz w:val="28"/>
          <w:szCs w:val="28"/>
          <w:lang w:eastAsia="zh-CN"/>
        </w:rPr>
        <w:t>及包号</w:t>
      </w:r>
      <w:r>
        <w:rPr>
          <w:rFonts w:ascii="宋体" w:hAnsi="宋体"/>
          <w:bCs/>
          <w:sz w:val="28"/>
          <w:szCs w:val="28"/>
        </w:rPr>
        <w:t>：</w:t>
      </w:r>
      <w:r>
        <w:rPr>
          <w:rFonts w:ascii="宋体" w:hAnsi="宋体"/>
          <w:bCs/>
          <w:sz w:val="28"/>
          <w:szCs w:val="28"/>
          <w:u w:val="single"/>
        </w:rPr>
        <w:t xml:space="preserve">                       </w:t>
      </w:r>
    </w:p>
    <w:p>
      <w:pPr>
        <w:tabs>
          <w:tab w:val="left" w:pos="2625"/>
        </w:tabs>
        <w:spacing w:line="440" w:lineRule="exact"/>
        <w:jc w:val="center"/>
        <w:rPr>
          <w:rFonts w:ascii="宋体" w:hAnsi="宋体"/>
          <w:sz w:val="28"/>
          <w:szCs w:val="28"/>
        </w:rPr>
      </w:pPr>
    </w:p>
    <w:p>
      <w:pPr>
        <w:tabs>
          <w:tab w:val="left" w:pos="2625"/>
        </w:tabs>
        <w:spacing w:line="440" w:lineRule="exact"/>
        <w:rPr>
          <w:rFonts w:ascii="宋体" w:hAnsi="宋体"/>
          <w:sz w:val="28"/>
          <w:szCs w:val="28"/>
        </w:rPr>
      </w:pPr>
    </w:p>
    <w:p>
      <w:pPr>
        <w:tabs>
          <w:tab w:val="left" w:pos="2625"/>
        </w:tabs>
        <w:spacing w:line="440" w:lineRule="exact"/>
        <w:jc w:val="center"/>
        <w:rPr>
          <w:rFonts w:ascii="宋体" w:hAnsi="宋体"/>
          <w:sz w:val="28"/>
          <w:szCs w:val="28"/>
        </w:rPr>
      </w:pPr>
    </w:p>
    <w:p>
      <w:pPr>
        <w:spacing w:line="440" w:lineRule="exact"/>
        <w:ind w:firstLine="1680" w:firstLineChars="600"/>
        <w:rPr>
          <w:rFonts w:hint="eastAsia" w:ascii="宋体" w:hAnsi="宋体"/>
          <w:bCs/>
          <w:sz w:val="28"/>
          <w:szCs w:val="28"/>
        </w:rPr>
      </w:pPr>
      <w:r>
        <w:rPr>
          <w:rFonts w:ascii="宋体" w:hAnsi="宋体"/>
          <w:bCs/>
          <w:sz w:val="28"/>
          <w:szCs w:val="28"/>
        </w:rPr>
        <w:t>供应商名称</w:t>
      </w:r>
      <w:r>
        <w:rPr>
          <w:rFonts w:hint="eastAsia" w:ascii="宋体" w:hAnsi="宋体"/>
          <w:bCs/>
          <w:sz w:val="28"/>
          <w:szCs w:val="28"/>
        </w:rPr>
        <w:t>：</w:t>
      </w:r>
    </w:p>
    <w:p>
      <w:pPr>
        <w:spacing w:line="440" w:lineRule="exact"/>
        <w:ind w:firstLine="1680" w:firstLineChars="600"/>
        <w:rPr>
          <w:rFonts w:hint="eastAsia" w:ascii="宋体" w:hAnsi="宋体"/>
          <w:bCs/>
          <w:sz w:val="28"/>
          <w:szCs w:val="28"/>
        </w:rPr>
      </w:pPr>
    </w:p>
    <w:p>
      <w:pPr>
        <w:spacing w:line="440" w:lineRule="exact"/>
        <w:jc w:val="center"/>
        <w:rPr>
          <w:rFonts w:ascii="宋体" w:hAnsi="宋体"/>
          <w:sz w:val="28"/>
          <w:szCs w:val="28"/>
        </w:rPr>
      </w:pPr>
      <w:bookmarkStart w:id="100" w:name="_Toc17216_WPSOffice_Level2"/>
      <w:bookmarkStart w:id="101" w:name="_Toc14763_WPSOffice_Level2"/>
      <w:bookmarkStart w:id="102" w:name="_Toc30833_WPSOffice_Level2"/>
      <w:r>
        <w:rPr>
          <w:rFonts w:ascii="宋体" w:hAnsi="宋体"/>
          <w:sz w:val="28"/>
          <w:szCs w:val="28"/>
        </w:rPr>
        <w:t>年  月  日</w:t>
      </w:r>
      <w:bookmarkEnd w:id="100"/>
      <w:bookmarkEnd w:id="101"/>
      <w:bookmarkEnd w:id="102"/>
    </w:p>
    <w:p>
      <w:pPr>
        <w:autoSpaceDE w:val="0"/>
        <w:autoSpaceDN w:val="0"/>
        <w:adjustRightInd w:val="0"/>
        <w:spacing w:line="440" w:lineRule="exact"/>
        <w:rPr>
          <w:rFonts w:ascii="宋体" w:hAnsi="宋体"/>
          <w:color w:val="000000"/>
          <w:sz w:val="28"/>
          <w:szCs w:val="28"/>
        </w:rPr>
      </w:pPr>
    </w:p>
    <w:p>
      <w:pPr>
        <w:autoSpaceDE w:val="0"/>
        <w:autoSpaceDN w:val="0"/>
        <w:adjustRightInd w:val="0"/>
        <w:spacing w:line="440" w:lineRule="exact"/>
        <w:rPr>
          <w:rFonts w:ascii="宋体" w:hAnsi="宋体"/>
          <w:color w:val="000000"/>
          <w:sz w:val="24"/>
        </w:rPr>
      </w:pPr>
    </w:p>
    <w:p>
      <w:pPr>
        <w:autoSpaceDE w:val="0"/>
        <w:autoSpaceDN w:val="0"/>
        <w:adjustRightInd w:val="0"/>
        <w:spacing w:line="440" w:lineRule="exact"/>
        <w:jc w:val="center"/>
        <w:rPr>
          <w:rFonts w:ascii="方正小标宋简体" w:hAnsi="宋体" w:eastAsia="方正小标宋简体"/>
          <w:color w:val="000000"/>
          <w:sz w:val="40"/>
          <w:szCs w:val="40"/>
        </w:rPr>
      </w:pPr>
    </w:p>
    <w:p>
      <w:pPr>
        <w:autoSpaceDE w:val="0"/>
        <w:autoSpaceDN w:val="0"/>
        <w:adjustRightInd w:val="0"/>
        <w:spacing w:line="440" w:lineRule="exact"/>
        <w:jc w:val="center"/>
        <w:rPr>
          <w:rFonts w:hint="eastAsia" w:ascii="方正小标宋简体" w:hAnsi="宋体" w:eastAsia="方正小标宋简体"/>
          <w:color w:val="000000"/>
          <w:sz w:val="40"/>
          <w:szCs w:val="40"/>
        </w:rPr>
      </w:pPr>
    </w:p>
    <w:p>
      <w:pPr>
        <w:autoSpaceDE w:val="0"/>
        <w:autoSpaceDN w:val="0"/>
        <w:adjustRightInd w:val="0"/>
        <w:spacing w:line="440" w:lineRule="exact"/>
        <w:jc w:val="center"/>
        <w:rPr>
          <w:rFonts w:hint="eastAsia" w:ascii="方正小标宋简体" w:hAnsi="宋体" w:eastAsia="方正小标宋简体"/>
          <w:color w:val="000000"/>
          <w:sz w:val="40"/>
          <w:szCs w:val="40"/>
        </w:rPr>
      </w:pPr>
    </w:p>
    <w:p>
      <w:pPr>
        <w:autoSpaceDE w:val="0"/>
        <w:autoSpaceDN w:val="0"/>
        <w:adjustRightInd w:val="0"/>
        <w:spacing w:line="440" w:lineRule="exact"/>
        <w:jc w:val="center"/>
        <w:rPr>
          <w:rFonts w:ascii="方正小标宋简体" w:hAnsi="宋体" w:eastAsia="方正小标宋简体"/>
          <w:color w:val="000000"/>
          <w:sz w:val="40"/>
          <w:szCs w:val="40"/>
        </w:rPr>
      </w:pPr>
      <w:bookmarkStart w:id="103" w:name="_Toc26672_WPSOffice_Level1"/>
      <w:bookmarkStart w:id="104" w:name="_Toc26245_WPSOffice_Level1"/>
      <w:bookmarkStart w:id="105" w:name="_Toc17211_WPSOffice_Level1"/>
      <w:r>
        <w:rPr>
          <w:rFonts w:hint="eastAsia" w:ascii="方正小标宋简体" w:hAnsi="宋体" w:eastAsia="方正小标宋简体"/>
          <w:color w:val="000000"/>
          <w:sz w:val="40"/>
          <w:szCs w:val="40"/>
        </w:rPr>
        <w:t>目  录</w:t>
      </w:r>
      <w:bookmarkEnd w:id="103"/>
      <w:bookmarkEnd w:id="104"/>
      <w:bookmarkEnd w:id="105"/>
    </w:p>
    <w:p>
      <w:pPr>
        <w:pStyle w:val="26"/>
        <w:tabs>
          <w:tab w:val="left" w:pos="1800"/>
        </w:tabs>
        <w:spacing w:before="0" w:beforeLines="0" w:line="440" w:lineRule="exact"/>
        <w:jc w:val="both"/>
        <w:rPr>
          <w:rFonts w:ascii="宋体" w:hAnsi="宋体" w:eastAsia="宋体"/>
          <w:color w:val="000000"/>
          <w:sz w:val="24"/>
        </w:rPr>
      </w:pPr>
    </w:p>
    <w:p>
      <w:pPr>
        <w:pStyle w:val="26"/>
        <w:tabs>
          <w:tab w:val="left" w:pos="1800"/>
        </w:tabs>
        <w:spacing w:before="0" w:beforeLines="0" w:line="440" w:lineRule="exact"/>
        <w:jc w:val="both"/>
        <w:rPr>
          <w:rFonts w:ascii="宋体" w:hAnsi="宋体" w:eastAsia="宋体"/>
          <w:color w:val="000000"/>
          <w:sz w:val="24"/>
        </w:rPr>
      </w:pPr>
    </w:p>
    <w:p>
      <w:pPr>
        <w:pStyle w:val="26"/>
        <w:tabs>
          <w:tab w:val="left" w:pos="1800"/>
        </w:tabs>
        <w:spacing w:before="0" w:beforeLines="0" w:line="440" w:lineRule="exact"/>
        <w:ind w:firstLine="482" w:firstLineChars="200"/>
        <w:jc w:val="both"/>
        <w:rPr>
          <w:rFonts w:hint="eastAsia" w:ascii="宋体" w:hAnsi="宋体" w:eastAsia="宋体"/>
          <w:color w:val="000000"/>
          <w:sz w:val="24"/>
        </w:rPr>
      </w:pPr>
      <w:bookmarkStart w:id="106" w:name="_Toc6813_WPSOffice_Level1"/>
      <w:bookmarkStart w:id="107" w:name="_Toc3834_WPSOffice_Level1"/>
      <w:bookmarkStart w:id="108" w:name="_Toc31949_WPSOffice_Level1"/>
      <w:r>
        <w:rPr>
          <w:rFonts w:hint="eastAsia" w:ascii="宋体" w:hAnsi="宋体" w:eastAsia="宋体"/>
          <w:color w:val="000000"/>
          <w:sz w:val="24"/>
        </w:rPr>
        <w:t>一、……</w:t>
      </w:r>
      <w:bookmarkEnd w:id="106"/>
      <w:bookmarkEnd w:id="107"/>
      <w:bookmarkEnd w:id="108"/>
    </w:p>
    <w:p>
      <w:pPr>
        <w:pStyle w:val="26"/>
        <w:tabs>
          <w:tab w:val="left" w:pos="1800"/>
        </w:tabs>
        <w:spacing w:before="0" w:beforeLines="0" w:line="440" w:lineRule="exact"/>
        <w:ind w:firstLine="482" w:firstLineChars="200"/>
        <w:jc w:val="both"/>
        <w:rPr>
          <w:rFonts w:hint="eastAsia" w:ascii="宋体" w:hAnsi="宋体" w:eastAsia="宋体"/>
          <w:color w:val="000000"/>
          <w:sz w:val="24"/>
        </w:rPr>
      </w:pPr>
      <w:bookmarkStart w:id="109" w:name="_Toc14975_WPSOffice_Level1"/>
      <w:bookmarkStart w:id="110" w:name="_Toc8715_WPSOffice_Level1"/>
      <w:bookmarkStart w:id="111" w:name="_Toc14323_WPSOffice_Level1"/>
      <w:r>
        <w:rPr>
          <w:rFonts w:hint="eastAsia" w:ascii="宋体" w:hAnsi="宋体" w:eastAsia="宋体"/>
          <w:color w:val="000000"/>
          <w:sz w:val="24"/>
        </w:rPr>
        <w:t>二、……</w:t>
      </w:r>
      <w:bookmarkEnd w:id="109"/>
      <w:bookmarkEnd w:id="110"/>
      <w:bookmarkEnd w:id="111"/>
    </w:p>
    <w:p>
      <w:pPr>
        <w:pStyle w:val="26"/>
        <w:tabs>
          <w:tab w:val="left" w:pos="1800"/>
        </w:tabs>
        <w:spacing w:before="0" w:beforeLines="0" w:line="440" w:lineRule="exact"/>
        <w:ind w:firstLine="954" w:firstLineChars="396"/>
        <w:jc w:val="both"/>
        <w:rPr>
          <w:rFonts w:hint="eastAsia" w:ascii="宋体" w:hAnsi="宋体" w:eastAsia="宋体"/>
          <w:color w:val="000000"/>
          <w:sz w:val="24"/>
        </w:rPr>
      </w:pPr>
      <w:bookmarkStart w:id="112" w:name="_Toc28130_WPSOffice_Level1"/>
      <w:bookmarkStart w:id="113" w:name="_Toc26702_WPSOffice_Level1"/>
      <w:bookmarkStart w:id="114" w:name="_Toc29555_WPSOffice_Level1"/>
      <w:r>
        <w:rPr>
          <w:rFonts w:hint="eastAsia" w:ascii="宋体" w:hAnsi="宋体" w:eastAsia="宋体"/>
          <w:color w:val="000000"/>
          <w:sz w:val="24"/>
        </w:rPr>
        <w:t>……</w:t>
      </w:r>
      <w:bookmarkEnd w:id="112"/>
      <w:bookmarkEnd w:id="113"/>
      <w:bookmarkEnd w:id="114"/>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ind w:firstLine="954" w:firstLineChars="396"/>
        <w:jc w:val="both"/>
        <w:rPr>
          <w:rFonts w:hint="eastAsia" w:ascii="宋体" w:hAnsi="宋体" w:eastAsia="宋体"/>
          <w:color w:val="000000"/>
          <w:sz w:val="24"/>
        </w:rPr>
      </w:pPr>
    </w:p>
    <w:p>
      <w:pPr>
        <w:pStyle w:val="26"/>
        <w:tabs>
          <w:tab w:val="left" w:pos="1800"/>
        </w:tabs>
        <w:spacing w:before="0" w:beforeLines="0" w:line="440" w:lineRule="exact"/>
        <w:jc w:val="both"/>
        <w:rPr>
          <w:rFonts w:hint="eastAsia" w:ascii="宋体" w:hAnsi="宋体" w:eastAsia="宋体"/>
          <w:color w:val="000000"/>
          <w:sz w:val="24"/>
        </w:rPr>
      </w:pPr>
    </w:p>
    <w:p>
      <w:pPr>
        <w:pStyle w:val="26"/>
        <w:tabs>
          <w:tab w:val="left" w:pos="1800"/>
        </w:tabs>
        <w:spacing w:before="0" w:beforeLines="0" w:line="440" w:lineRule="exact"/>
        <w:jc w:val="both"/>
        <w:rPr>
          <w:rFonts w:hint="eastAsia" w:ascii="宋体" w:hAnsi="宋体" w:eastAsia="宋体"/>
          <w:color w:val="000000"/>
          <w:sz w:val="24"/>
        </w:rPr>
      </w:pPr>
    </w:p>
    <w:p>
      <w:pPr>
        <w:pStyle w:val="26"/>
        <w:tabs>
          <w:tab w:val="left" w:pos="1800"/>
        </w:tabs>
        <w:spacing w:before="0" w:beforeLines="0" w:line="440" w:lineRule="exact"/>
        <w:jc w:val="both"/>
        <w:rPr>
          <w:rFonts w:hint="eastAsia" w:ascii="宋体" w:hAnsi="宋体" w:eastAsia="宋体"/>
          <w:color w:val="000000"/>
          <w:sz w:val="24"/>
        </w:rPr>
      </w:pPr>
    </w:p>
    <w:p>
      <w:pPr>
        <w:rPr>
          <w:rFonts w:hint="eastAsia" w:ascii="楷体_GB2312" w:hAnsi="宋体" w:eastAsia="楷体_GB2312" w:cs="Times New Roman"/>
          <w:bCs w:val="0"/>
          <w:color w:val="000000"/>
          <w:sz w:val="24"/>
          <w:szCs w:val="24"/>
        </w:rPr>
      </w:pPr>
      <w:r>
        <w:rPr>
          <w:rFonts w:hint="eastAsia" w:ascii="楷体_GB2312" w:hAnsi="宋体" w:eastAsia="楷体_GB2312" w:cs="Times New Roman"/>
          <w:bCs w:val="0"/>
          <w:color w:val="000000"/>
          <w:sz w:val="24"/>
          <w:szCs w:val="24"/>
        </w:rPr>
        <w:br w:type="page"/>
      </w:r>
    </w:p>
    <w:p>
      <w:pPr>
        <w:pStyle w:val="26"/>
        <w:tabs>
          <w:tab w:val="left" w:pos="1800"/>
        </w:tabs>
        <w:spacing w:before="0" w:beforeLines="0" w:line="440" w:lineRule="exact"/>
        <w:jc w:val="both"/>
        <w:rPr>
          <w:rFonts w:hint="eastAsia" w:ascii="楷体_GB2312" w:hAnsi="宋体" w:eastAsia="楷体_GB2312" w:cs="Times New Roman"/>
          <w:bCs w:val="0"/>
          <w:color w:val="000000"/>
          <w:sz w:val="24"/>
          <w:szCs w:val="24"/>
        </w:rPr>
      </w:pPr>
      <w:r>
        <w:rPr>
          <w:rFonts w:hint="eastAsia" w:ascii="楷体_GB2312" w:hAnsi="宋体" w:eastAsia="楷体_GB2312" w:cs="Times New Roman"/>
          <w:bCs w:val="0"/>
          <w:color w:val="000000"/>
          <w:sz w:val="24"/>
          <w:szCs w:val="24"/>
        </w:rPr>
        <w:t xml:space="preserve">附件一              </w:t>
      </w:r>
    </w:p>
    <w:p>
      <w:pPr>
        <w:pStyle w:val="26"/>
        <w:tabs>
          <w:tab w:val="left" w:pos="1800"/>
        </w:tabs>
        <w:spacing w:before="0" w:beforeLines="0" w:line="440" w:lineRule="exact"/>
        <w:rPr>
          <w:kern w:val="0"/>
          <w:sz w:val="32"/>
          <w:szCs w:val="32"/>
        </w:rPr>
      </w:pPr>
      <w:bookmarkStart w:id="115" w:name="_Toc31015_WPSOffice_Level1"/>
      <w:bookmarkStart w:id="116" w:name="_Toc22401_WPSOffice_Level1"/>
      <w:bookmarkStart w:id="117" w:name="_Toc5583_WPSOffice_Level1"/>
      <w:r>
        <w:rPr>
          <w:rFonts w:hint="eastAsia" w:eastAsia="方正小标宋简体"/>
          <w:kern w:val="0"/>
          <w:sz w:val="32"/>
          <w:szCs w:val="32"/>
        </w:rPr>
        <w:t>投  标</w:t>
      </w:r>
      <w:r>
        <w:rPr>
          <w:rFonts w:eastAsia="方正小标宋简体"/>
          <w:kern w:val="0"/>
          <w:sz w:val="32"/>
          <w:szCs w:val="32"/>
        </w:rPr>
        <w:t xml:space="preserve">  函</w:t>
      </w:r>
      <w:bookmarkEnd w:id="115"/>
      <w:bookmarkEnd w:id="116"/>
      <w:bookmarkEnd w:id="117"/>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kern w:val="0"/>
          <w:sz w:val="24"/>
          <w:szCs w:val="24"/>
          <w:lang w:eastAsia="zh-CN"/>
        </w:rPr>
      </w:pPr>
      <w:r>
        <w:rPr>
          <w:rFonts w:hint="eastAsia" w:ascii="宋体" w:hAnsi="宋体"/>
          <w:kern w:val="0"/>
          <w:sz w:val="24"/>
          <w:szCs w:val="24"/>
        </w:rPr>
        <w:t>致：</w:t>
      </w:r>
      <w:r>
        <w:rPr>
          <w:rFonts w:hint="eastAsia" w:ascii="宋体" w:hAnsi="宋体"/>
          <w:kern w:val="0"/>
          <w:sz w:val="24"/>
          <w:szCs w:val="24"/>
          <w:lang w:eastAsia="zh-CN"/>
        </w:rPr>
        <w:t>名旺工程咨询（湖北）有限公司</w:t>
      </w:r>
    </w:p>
    <w:p>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ascii="宋体" w:hAnsi="宋体"/>
          <w:kern w:val="0"/>
          <w:sz w:val="24"/>
          <w:szCs w:val="24"/>
        </w:rPr>
      </w:pPr>
      <w:r>
        <w:rPr>
          <w:rFonts w:ascii="宋体" w:hAnsi="宋体"/>
          <w:kern w:val="0"/>
          <w:sz w:val="24"/>
          <w:szCs w:val="24"/>
        </w:rPr>
        <w:t>根据贵方为</w:t>
      </w:r>
      <w:r>
        <w:rPr>
          <w:rFonts w:ascii="宋体" w:hAnsi="宋体"/>
          <w:kern w:val="0"/>
          <w:sz w:val="24"/>
          <w:szCs w:val="24"/>
          <w:u w:val="single"/>
        </w:rPr>
        <w:t xml:space="preserve"> (项目名称/项目编号</w:t>
      </w:r>
      <w:r>
        <w:rPr>
          <w:rFonts w:hint="eastAsia" w:ascii="宋体" w:hAnsi="宋体"/>
          <w:kern w:val="0"/>
          <w:sz w:val="24"/>
          <w:szCs w:val="24"/>
          <w:u w:val="single"/>
          <w:lang w:eastAsia="zh-CN"/>
        </w:rPr>
        <w:t>及包号</w:t>
      </w:r>
      <w:r>
        <w:rPr>
          <w:rFonts w:ascii="宋体" w:hAnsi="宋体"/>
          <w:kern w:val="0"/>
          <w:sz w:val="24"/>
          <w:szCs w:val="24"/>
          <w:u w:val="single"/>
        </w:rPr>
        <w:t xml:space="preserve">) </w:t>
      </w:r>
      <w:r>
        <w:rPr>
          <w:rFonts w:ascii="宋体" w:hAnsi="宋体"/>
          <w:kern w:val="0"/>
          <w:sz w:val="24"/>
          <w:szCs w:val="24"/>
        </w:rPr>
        <w:t>项目采购货物</w:t>
      </w:r>
      <w:r>
        <w:rPr>
          <w:rFonts w:hint="eastAsia" w:ascii="宋体" w:hAnsi="宋体"/>
          <w:kern w:val="0"/>
          <w:sz w:val="24"/>
          <w:szCs w:val="24"/>
        </w:rPr>
        <w:t>（工程、服务）</w:t>
      </w:r>
      <w:r>
        <w:rPr>
          <w:rFonts w:ascii="宋体" w:hAnsi="宋体"/>
          <w:kern w:val="0"/>
          <w:sz w:val="24"/>
          <w:szCs w:val="24"/>
        </w:rPr>
        <w:t>的询价邀请，我方代表</w:t>
      </w:r>
      <w:r>
        <w:rPr>
          <w:rFonts w:ascii="宋体" w:hAnsi="宋体"/>
          <w:kern w:val="0"/>
          <w:sz w:val="24"/>
          <w:szCs w:val="24"/>
          <w:u w:val="single"/>
        </w:rPr>
        <w:t>签字代表</w:t>
      </w:r>
      <w:r>
        <w:rPr>
          <w:rFonts w:ascii="宋体" w:hAnsi="宋体"/>
          <w:kern w:val="0"/>
          <w:sz w:val="24"/>
          <w:szCs w:val="24"/>
        </w:rPr>
        <w:t>（姓名、职务）经正式授权并代表</w:t>
      </w:r>
      <w:r>
        <w:rPr>
          <w:rFonts w:ascii="宋体" w:hAnsi="宋体"/>
          <w:kern w:val="0"/>
          <w:sz w:val="24"/>
          <w:szCs w:val="24"/>
          <w:u w:val="single"/>
        </w:rPr>
        <w:t>（供应商名称、地址）</w:t>
      </w:r>
      <w:r>
        <w:rPr>
          <w:rFonts w:ascii="宋体" w:hAnsi="宋体"/>
          <w:kern w:val="0"/>
          <w:sz w:val="24"/>
          <w:szCs w:val="24"/>
        </w:rPr>
        <w:t>提交下述文件（</w:t>
      </w:r>
      <w:r>
        <w:rPr>
          <w:rFonts w:hint="eastAsia" w:ascii="宋体" w:hAnsi="宋体"/>
          <w:kern w:val="0"/>
          <w:sz w:val="24"/>
          <w:szCs w:val="24"/>
        </w:rPr>
        <w:t>纸质文件</w:t>
      </w:r>
      <w:r>
        <w:rPr>
          <w:rFonts w:ascii="宋体" w:hAnsi="宋体"/>
          <w:sz w:val="24"/>
          <w:szCs w:val="24"/>
        </w:rPr>
        <w:t>正本一份</w:t>
      </w:r>
      <w:r>
        <w:rPr>
          <w:rFonts w:hint="eastAsia" w:ascii="宋体" w:hAnsi="宋体"/>
          <w:sz w:val="24"/>
          <w:szCs w:val="24"/>
        </w:rPr>
        <w:t>和</w:t>
      </w:r>
      <w:r>
        <w:rPr>
          <w:rFonts w:ascii="宋体" w:hAnsi="宋体"/>
          <w:sz w:val="24"/>
          <w:szCs w:val="24"/>
        </w:rPr>
        <w:t>副本二份</w:t>
      </w:r>
      <w:r>
        <w:rPr>
          <w:rFonts w:hint="eastAsia" w:ascii="宋体" w:hAnsi="宋体"/>
          <w:sz w:val="24"/>
          <w:szCs w:val="24"/>
        </w:rPr>
        <w:t>，电子文件U盘一份</w:t>
      </w:r>
      <w:r>
        <w:rPr>
          <w:rFonts w:ascii="宋体" w:hAnsi="宋体"/>
          <w:sz w:val="24"/>
          <w:szCs w:val="24"/>
        </w:rPr>
        <w:t>）</w:t>
      </w:r>
      <w:r>
        <w:rPr>
          <w:rFonts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1.投标函；</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2.报价一览表；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.资格性符合性检查对照表；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.法人（负责人）代表授权书；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.法人或者其他组织的营业执照等证明文件，自然人的身份证</w:t>
      </w:r>
      <w:r>
        <w:rPr>
          <w:rFonts w:hint="eastAsia" w:ascii="宋体" w:hAnsi="宋体" w:cs="宋体"/>
          <w:sz w:val="24"/>
          <w:szCs w:val="24"/>
        </w:rPr>
        <w:t>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kern w:val="0"/>
          <w:sz w:val="24"/>
          <w:szCs w:val="24"/>
        </w:rPr>
      </w:pPr>
      <w:r>
        <w:rPr>
          <w:rFonts w:hint="eastAsia" w:ascii="宋体" w:hAnsi="宋体" w:cs="宋体"/>
          <w:sz w:val="24"/>
          <w:szCs w:val="24"/>
          <w:lang w:val="en-US" w:eastAsia="zh-CN"/>
        </w:rPr>
        <w:t>7</w:t>
      </w:r>
      <w:r>
        <w:rPr>
          <w:rFonts w:hint="eastAsia" w:ascii="宋体" w:hAnsi="宋体" w:cs="宋体"/>
          <w:sz w:val="24"/>
          <w:szCs w:val="24"/>
        </w:rPr>
        <w:t>.未被列入“信用中国”网站(www.creditchina. gov.cn)、</w:t>
      </w:r>
      <w:r>
        <w:rPr>
          <w:rFonts w:hint="eastAsia" w:hAnsi="宋体" w:cs="宋体"/>
          <w:kern w:val="0"/>
          <w:sz w:val="24"/>
          <w:szCs w:val="24"/>
        </w:rPr>
        <w:t>中国政府采购网（www.ccgp.gov.cn）</w:t>
      </w:r>
      <w:r>
        <w:rPr>
          <w:rFonts w:hint="eastAsia" w:ascii="宋体" w:hAnsi="宋体" w:cs="宋体"/>
          <w:sz w:val="24"/>
          <w:szCs w:val="24"/>
        </w:rPr>
        <w:t>失信被执行人、重大税收违法案件当事人名单、政府采购严重违法失信行为记录名单的网页打印件,以采购公告发布之日后的查询结果为准</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 xml:space="preserve">在此，我方宣布同意如下：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w:t>
      </w:r>
      <w:r>
        <w:rPr>
          <w:rFonts w:ascii="宋体" w:hAnsi="宋体"/>
          <w:kern w:val="0"/>
          <w:sz w:val="24"/>
          <w:szCs w:val="24"/>
        </w:rPr>
        <w:t>所附报价一览表中规定的应提交和交付的货物</w:t>
      </w:r>
      <w:r>
        <w:rPr>
          <w:rFonts w:hint="eastAsia" w:ascii="宋体" w:hAnsi="宋体"/>
          <w:kern w:val="0"/>
          <w:sz w:val="24"/>
          <w:szCs w:val="24"/>
        </w:rPr>
        <w:t>（工程、服务）</w:t>
      </w:r>
      <w:r>
        <w:rPr>
          <w:rFonts w:ascii="宋体" w:hAnsi="宋体"/>
          <w:kern w:val="0"/>
          <w:sz w:val="24"/>
          <w:szCs w:val="24"/>
        </w:rPr>
        <w:t>总价为（</w:t>
      </w:r>
      <w:r>
        <w:rPr>
          <w:rFonts w:ascii="宋体" w:hAnsi="宋体"/>
          <w:kern w:val="0"/>
          <w:sz w:val="24"/>
          <w:szCs w:val="24"/>
          <w:u w:val="single"/>
        </w:rPr>
        <w:t>注明币种，并用文字和数字表示的总报价</w:t>
      </w:r>
      <w:r>
        <w:rPr>
          <w:rFonts w:ascii="宋体" w:hAnsi="宋体"/>
          <w:kern w:val="0"/>
          <w:sz w:val="24"/>
          <w:szCs w:val="24"/>
        </w:rPr>
        <w:t>）</w:t>
      </w:r>
      <w:r>
        <w:rPr>
          <w:rFonts w:hint="eastAsia"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2. 将按</w:t>
      </w:r>
      <w:r>
        <w:rPr>
          <w:rFonts w:hint="eastAsia" w:ascii="宋体" w:hAnsi="宋体"/>
          <w:sz w:val="24"/>
          <w:szCs w:val="24"/>
        </w:rPr>
        <w:t>询价文件</w:t>
      </w:r>
      <w:r>
        <w:rPr>
          <w:rFonts w:ascii="宋体" w:hAnsi="宋体"/>
          <w:kern w:val="0"/>
          <w:sz w:val="24"/>
          <w:szCs w:val="24"/>
        </w:rPr>
        <w:t>的规定履行合同责任和义务</w:t>
      </w:r>
      <w:r>
        <w:rPr>
          <w:rFonts w:hint="eastAsia"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3. 已详细审查全部</w:t>
      </w:r>
      <w:r>
        <w:rPr>
          <w:rFonts w:hint="eastAsia" w:ascii="宋体" w:hAnsi="宋体"/>
          <w:sz w:val="24"/>
          <w:szCs w:val="24"/>
        </w:rPr>
        <w:t>询价文件</w:t>
      </w:r>
      <w:r>
        <w:rPr>
          <w:rFonts w:ascii="宋体" w:hAnsi="宋体"/>
          <w:kern w:val="0"/>
          <w:sz w:val="24"/>
          <w:szCs w:val="24"/>
        </w:rPr>
        <w:t>，包括</w:t>
      </w:r>
      <w:r>
        <w:rPr>
          <w:rFonts w:ascii="宋体" w:hAnsi="宋体"/>
          <w:kern w:val="0"/>
          <w:sz w:val="24"/>
          <w:szCs w:val="24"/>
          <w:u w:val="single"/>
        </w:rPr>
        <w:t>（编号、补遗书）（如果有的话）</w:t>
      </w:r>
      <w:r>
        <w:rPr>
          <w:rFonts w:ascii="宋体" w:hAnsi="宋体"/>
          <w:kern w:val="0"/>
          <w:sz w:val="24"/>
          <w:szCs w:val="24"/>
        </w:rPr>
        <w:t>，对此无异议。我方完全理解并同意放弃对这方面有不明及误解的权力</w:t>
      </w:r>
      <w:r>
        <w:rPr>
          <w:rFonts w:hint="eastAsia"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4. 本报价有效期为自报价日起</w:t>
      </w:r>
      <w:r>
        <w:rPr>
          <w:rFonts w:hint="eastAsia" w:ascii="宋体" w:hAnsi="宋体"/>
          <w:kern w:val="0"/>
          <w:sz w:val="24"/>
          <w:szCs w:val="24"/>
          <w:u w:val="single"/>
        </w:rPr>
        <w:t>（   ）</w:t>
      </w:r>
      <w:r>
        <w:rPr>
          <w:rFonts w:ascii="宋体" w:hAnsi="宋体"/>
          <w:kern w:val="0"/>
          <w:sz w:val="24"/>
          <w:szCs w:val="24"/>
        </w:rPr>
        <w:t>个日历日</w:t>
      </w:r>
      <w:r>
        <w:rPr>
          <w:rFonts w:hint="eastAsia"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5. 同意提供按照贵方可能要求的与其报价有关的一切数据或资料</w:t>
      </w:r>
      <w:r>
        <w:rPr>
          <w:rFonts w:hint="eastAsia" w:ascii="宋体" w:hAnsi="宋体"/>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6</w:t>
      </w:r>
      <w:r>
        <w:rPr>
          <w:rFonts w:ascii="宋体" w:hAnsi="宋体"/>
          <w:kern w:val="0"/>
          <w:sz w:val="24"/>
          <w:szCs w:val="24"/>
        </w:rPr>
        <w:t>. 与本报价有关的一切正式往来信函请寄：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地址：</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rPr>
      </w:pPr>
      <w:r>
        <w:rPr>
          <w:rFonts w:ascii="宋体" w:hAnsi="宋体"/>
          <w:kern w:val="0"/>
          <w:sz w:val="24"/>
          <w:szCs w:val="24"/>
        </w:rPr>
        <w:t>电话/传真：</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u w:val="single"/>
        </w:rPr>
      </w:pPr>
      <w:r>
        <w:rPr>
          <w:rFonts w:hint="eastAsia" w:ascii="宋体" w:hAnsi="宋体"/>
          <w:kern w:val="0"/>
          <w:sz w:val="24"/>
          <w:szCs w:val="24"/>
        </w:rPr>
        <w:t>电子信箱：</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u w:val="single"/>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代表或授权代表签字：</w:t>
      </w:r>
      <w:r>
        <w:rPr>
          <w:rFonts w:ascii="宋体" w:hAnsi="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u w:val="single"/>
        </w:rPr>
      </w:pPr>
      <w:r>
        <w:rPr>
          <w:rFonts w:ascii="宋体" w:hAnsi="宋体"/>
          <w:kern w:val="0"/>
          <w:sz w:val="24"/>
          <w:szCs w:val="24"/>
        </w:rPr>
        <w:t xml:space="preserve">供应商名称(公章)：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szCs w:val="24"/>
        </w:rPr>
      </w:pPr>
      <w:r>
        <w:rPr>
          <w:rFonts w:ascii="宋体" w:hAnsi="宋体"/>
          <w:kern w:val="0"/>
          <w:sz w:val="24"/>
          <w:szCs w:val="24"/>
        </w:rPr>
        <w:t>日期：</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color w:val="000000"/>
          <w:kern w:val="28"/>
          <w:sz w:val="24"/>
          <w:szCs w:val="24"/>
          <w:lang w:val="zh-CN"/>
        </w:rPr>
        <w:br w:type="page"/>
      </w:r>
      <w:r>
        <w:rPr>
          <w:rFonts w:hint="eastAsia" w:ascii="楷体_GB2312" w:hAnsi="宋体" w:eastAsia="楷体_GB2312"/>
          <w:b/>
          <w:color w:val="000000"/>
          <w:sz w:val="24"/>
          <w:szCs w:val="24"/>
        </w:rPr>
        <w:t>附件二</w:t>
      </w:r>
    </w:p>
    <w:p>
      <w:pPr>
        <w:spacing w:line="440" w:lineRule="exact"/>
        <w:jc w:val="center"/>
        <w:rPr>
          <w:rFonts w:eastAsia="方正小标宋简体"/>
          <w:sz w:val="24"/>
          <w:szCs w:val="24"/>
        </w:rPr>
      </w:pPr>
    </w:p>
    <w:p>
      <w:pPr>
        <w:spacing w:line="440" w:lineRule="exact"/>
        <w:jc w:val="center"/>
        <w:rPr>
          <w:rFonts w:eastAsia="方正小标宋简体"/>
          <w:sz w:val="32"/>
          <w:szCs w:val="32"/>
        </w:rPr>
      </w:pPr>
      <w:bookmarkStart w:id="118" w:name="_Toc31303_WPSOffice_Level1"/>
      <w:bookmarkStart w:id="119" w:name="_Toc26254_WPSOffice_Level1"/>
      <w:bookmarkStart w:id="120" w:name="_Toc2720_WPSOffice_Level1"/>
      <w:r>
        <w:rPr>
          <w:rFonts w:eastAsia="方正小标宋简体"/>
          <w:sz w:val="32"/>
          <w:szCs w:val="32"/>
        </w:rPr>
        <w:t>报价一览表</w:t>
      </w:r>
      <w:bookmarkEnd w:id="118"/>
      <w:bookmarkEnd w:id="119"/>
      <w:bookmarkEnd w:id="120"/>
    </w:p>
    <w:p>
      <w:pPr>
        <w:spacing w:line="440" w:lineRule="exact"/>
        <w:jc w:val="center"/>
        <w:rPr>
          <w:rFonts w:eastAsia="方正姚体"/>
          <w:sz w:val="24"/>
          <w:szCs w:val="24"/>
        </w:rPr>
      </w:pPr>
    </w:p>
    <w:tbl>
      <w:tblPr>
        <w:tblStyle w:val="14"/>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center"/>
              <w:textAlignment w:val="auto"/>
              <w:rPr>
                <w:rFonts w:ascii="宋体" w:hAnsi="宋体"/>
                <w:color w:val="000000"/>
                <w:sz w:val="24"/>
                <w:szCs w:val="24"/>
              </w:rPr>
            </w:pPr>
            <w:r>
              <w:rPr>
                <w:rFonts w:hint="eastAsia" w:ascii="宋体" w:hAnsi="宋体"/>
                <w:color w:val="000000"/>
                <w:sz w:val="24"/>
                <w:szCs w:val="24"/>
              </w:rPr>
              <w:t>项目编号</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center"/>
              <w:textAlignment w:val="auto"/>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项目名称</w:t>
            </w:r>
            <w:r>
              <w:rPr>
                <w:rFonts w:hint="eastAsia" w:ascii="宋体" w:hAnsi="宋体"/>
                <w:color w:val="000000"/>
                <w:sz w:val="24"/>
                <w:szCs w:val="24"/>
                <w:lang w:val="en-US" w:eastAsia="zh-CN"/>
              </w:rPr>
              <w:t>及包号</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1545" w:firstLineChars="644"/>
              <w:textAlignment w:val="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center"/>
              <w:textAlignment w:val="auto"/>
              <w:rPr>
                <w:rFonts w:ascii="宋体" w:hAnsi="宋体"/>
                <w:color w:val="000000"/>
                <w:sz w:val="24"/>
                <w:szCs w:val="24"/>
              </w:rPr>
            </w:pPr>
            <w:r>
              <w:rPr>
                <w:rFonts w:hint="eastAsia" w:ascii="宋体" w:hAnsi="宋体"/>
                <w:color w:val="000000"/>
                <w:sz w:val="24"/>
                <w:szCs w:val="24"/>
              </w:rPr>
              <w:t>投标总报价</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left"/>
              <w:textAlignment w:val="auto"/>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小写：人民币</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left="-38"/>
              <w:jc w:val="left"/>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大写：人民币</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8"/>
              <w:jc w:val="center"/>
              <w:textAlignment w:val="auto"/>
              <w:rPr>
                <w:rFonts w:hint="default" w:ascii="宋体" w:hAnsi="宋体"/>
                <w:color w:val="000000"/>
                <w:sz w:val="24"/>
                <w:szCs w:val="24"/>
                <w:lang w:val="en-US"/>
              </w:rPr>
            </w:pPr>
            <w:r>
              <w:rPr>
                <w:rFonts w:hint="eastAsia" w:ascii="宋体" w:hAnsi="宋体"/>
                <w:color w:val="000000"/>
                <w:sz w:val="24"/>
                <w:szCs w:val="24"/>
                <w:lang w:val="en-US" w:eastAsia="zh-CN"/>
              </w:rPr>
              <w:t>合同履行期限</w:t>
            </w:r>
          </w:p>
        </w:tc>
        <w:tc>
          <w:tcPr>
            <w:tcW w:w="6840" w:type="dxa"/>
            <w:vAlign w:val="center"/>
          </w:tcPr>
          <w:p>
            <w:pPr>
              <w:keepNext w:val="0"/>
              <w:keepLines w:val="0"/>
              <w:pageBreakBefore w:val="0"/>
              <w:widowControl w:val="0"/>
              <w:tabs>
                <w:tab w:val="left" w:pos="799"/>
              </w:tabs>
              <w:kinsoku/>
              <w:wordWrap/>
              <w:overflowPunct/>
              <w:topLinePunct w:val="0"/>
              <w:autoSpaceDE/>
              <w:autoSpaceDN/>
              <w:bidi w:val="0"/>
              <w:adjustRightInd w:val="0"/>
              <w:snapToGrid w:val="0"/>
              <w:spacing w:line="360" w:lineRule="auto"/>
              <w:ind w:left="-38"/>
              <w:textAlignment w:val="auto"/>
              <w:rPr>
                <w:rFonts w:ascii="宋体" w:hAnsi="宋体"/>
                <w:color w:val="000000"/>
                <w:sz w:val="24"/>
                <w:szCs w:val="24"/>
              </w:rPr>
            </w:pPr>
            <w:r>
              <w:rPr>
                <w:rFonts w:hint="eastAsia" w:ascii="宋体" w:hAnsi="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both"/>
              <w:textAlignment w:val="auto"/>
              <w:rPr>
                <w:rFonts w:ascii="宋体" w:hAnsi="宋体"/>
                <w:color w:val="000000"/>
                <w:sz w:val="24"/>
                <w:szCs w:val="24"/>
              </w:rPr>
            </w:pPr>
            <w:r>
              <w:rPr>
                <w:rFonts w:hint="eastAsia" w:ascii="宋体" w:hAnsi="宋体" w:eastAsia="宋体" w:cs="Times New Roman"/>
                <w:color w:val="000000"/>
                <w:sz w:val="24"/>
                <w:szCs w:val="24"/>
                <w:lang w:val="en-US" w:eastAsia="zh-CN"/>
              </w:rPr>
              <w:t>备注</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olor w:val="000000"/>
                <w:sz w:val="24"/>
                <w:szCs w:val="24"/>
              </w:rPr>
            </w:pPr>
          </w:p>
        </w:tc>
      </w:tr>
    </w:tbl>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说明：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1.此表除保留在响应文件中外，</w:t>
      </w:r>
      <w:r>
        <w:rPr>
          <w:rFonts w:hint="eastAsia" w:ascii="宋体" w:hAnsi="宋体" w:cs="宋体"/>
          <w:b/>
          <w:bCs/>
          <w:sz w:val="24"/>
          <w:szCs w:val="24"/>
        </w:rPr>
        <w:t>还另附一份单独封装在一个小信封中为开标之用，密封要求同响应文件。</w:t>
      </w:r>
      <w:r>
        <w:rPr>
          <w:rFonts w:hint="eastAsia" w:ascii="宋体" w:hAnsi="宋体"/>
          <w:b/>
          <w:bCs/>
          <w:color w:val="000000"/>
          <w:sz w:val="24"/>
          <w:szCs w:val="24"/>
        </w:rPr>
        <w:t>本表必须按要求由投标单位本项目法人或授权代表签字，并加盖投标单位公章，否则将被视为非响应性投标而作废标处理.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olor w:val="000000"/>
          <w:sz w:val="24"/>
          <w:szCs w:val="24"/>
        </w:rPr>
        <w:t>报价中必须包含合同实施过程中应预见和不可预见费用等。</w:t>
      </w:r>
    </w:p>
    <w:p>
      <w:pPr>
        <w:pStyle w:val="10"/>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color w:val="auto"/>
          <w:kern w:val="2"/>
          <w:sz w:val="24"/>
          <w:szCs w:val="24"/>
          <w:lang w:val="en-US" w:eastAsia="zh-CN" w:bidi="ar-SA"/>
        </w:rPr>
        <w:t>供应商可以根据项目情况编制一份分项报价表，分项报价总计价格应与报价一览表总报价一致，</w:t>
      </w:r>
      <w:r>
        <w:rPr>
          <w:rFonts w:hint="eastAsia" w:ascii="宋体" w:hAnsi="宋体"/>
          <w:bCs/>
          <w:color w:val="auto"/>
          <w:sz w:val="24"/>
          <w:szCs w:val="24"/>
        </w:rPr>
        <w:t>此表作为</w:t>
      </w:r>
      <w:r>
        <w:rPr>
          <w:rFonts w:hint="eastAsia" w:ascii="宋体" w:hAnsi="宋体"/>
          <w:bCs/>
          <w:color w:val="auto"/>
          <w:sz w:val="24"/>
          <w:szCs w:val="24"/>
          <w:lang w:val="en-US" w:eastAsia="zh-CN"/>
        </w:rPr>
        <w:t>报价</w:t>
      </w:r>
      <w:r>
        <w:rPr>
          <w:rFonts w:hint="eastAsia" w:ascii="宋体" w:hAnsi="宋体"/>
          <w:bCs/>
          <w:color w:val="auto"/>
          <w:sz w:val="24"/>
          <w:szCs w:val="24"/>
        </w:rPr>
        <w:t>一览表附件，内容自拟</w:t>
      </w:r>
      <w:r>
        <w:rPr>
          <w:rFonts w:hint="eastAsia" w:ascii="宋体" w:hAnsi="宋体" w:eastAsia="宋体" w:cs="宋体"/>
          <w:color w:val="auto"/>
          <w:kern w:val="2"/>
          <w:sz w:val="24"/>
          <w:szCs w:val="24"/>
          <w:lang w:val="en-US" w:eastAsia="zh-CN" w:bidi="ar-SA"/>
        </w:rPr>
        <w:t>。</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cs="Courier New"/>
          <w:kern w:val="0"/>
          <w:sz w:val="24"/>
          <w:szCs w:val="24"/>
          <w:lang w:val="en-US" w:eastAsia="zh-CN"/>
        </w:rPr>
        <w:t>4.询价</w:t>
      </w:r>
      <w:r>
        <w:rPr>
          <w:rFonts w:hint="eastAsia" w:ascii="宋体" w:hAnsi="宋体" w:cs="Courier New"/>
          <w:kern w:val="0"/>
          <w:sz w:val="24"/>
          <w:szCs w:val="24"/>
          <w:lang w:val="zh-TW" w:eastAsia="zh-TW"/>
        </w:rPr>
        <w:t>小组认为供应商的报价明显低于其他通过符合性审查供应商的报价，有可能影响</w:t>
      </w:r>
      <w:r>
        <w:rPr>
          <w:rFonts w:hint="eastAsia" w:ascii="宋体" w:hAnsi="宋体" w:cs="Courier New"/>
          <w:kern w:val="0"/>
          <w:sz w:val="24"/>
          <w:szCs w:val="24"/>
          <w:lang w:val="en-US" w:eastAsia="zh-CN"/>
        </w:rPr>
        <w:t>服务</w:t>
      </w:r>
      <w:r>
        <w:rPr>
          <w:rFonts w:hint="eastAsia" w:ascii="宋体" w:hAnsi="宋体" w:cs="Courier New"/>
          <w:kern w:val="0"/>
          <w:sz w:val="24"/>
          <w:szCs w:val="24"/>
          <w:lang w:val="zh-TW" w:eastAsia="zh-TW"/>
        </w:rPr>
        <w:t>质量或者不能诚信履约的，应当要求其在评标现场合理的时间内提供书面说明，必要时提交相关证明材料；</w:t>
      </w:r>
      <w:r>
        <w:rPr>
          <w:rFonts w:hint="eastAsia" w:ascii="宋体" w:hAnsi="宋体" w:cs="Courier New"/>
          <w:kern w:val="0"/>
          <w:sz w:val="24"/>
          <w:szCs w:val="24"/>
        </w:rPr>
        <w:t>供应商</w:t>
      </w:r>
      <w:r>
        <w:rPr>
          <w:rFonts w:hint="eastAsia" w:ascii="宋体" w:hAnsi="宋体" w:cs="Courier New"/>
          <w:kern w:val="0"/>
          <w:sz w:val="24"/>
          <w:szCs w:val="24"/>
          <w:lang w:val="zh-TW" w:eastAsia="zh-TW"/>
        </w:rPr>
        <w:t>不能证明其报价合理性的，</w:t>
      </w:r>
      <w:r>
        <w:rPr>
          <w:rFonts w:hint="eastAsia" w:ascii="宋体" w:hAnsi="宋体" w:cs="Courier New"/>
          <w:kern w:val="0"/>
          <w:sz w:val="24"/>
          <w:szCs w:val="24"/>
          <w:lang w:val="en-US" w:eastAsia="zh-CN"/>
        </w:rPr>
        <w:t>询价</w:t>
      </w:r>
      <w:r>
        <w:rPr>
          <w:rFonts w:hint="eastAsia" w:ascii="宋体" w:hAnsi="宋体" w:cs="Courier New"/>
          <w:kern w:val="0"/>
          <w:sz w:val="24"/>
          <w:szCs w:val="24"/>
        </w:rPr>
        <w:t>小组</w:t>
      </w:r>
      <w:r>
        <w:rPr>
          <w:rFonts w:hint="eastAsia" w:ascii="宋体" w:hAnsi="宋体" w:cs="Courier New"/>
          <w:kern w:val="0"/>
          <w:sz w:val="24"/>
          <w:szCs w:val="24"/>
          <w:lang w:val="zh-TW" w:eastAsia="zh-TW"/>
        </w:rPr>
        <w:t>应当将其作为无效投标处理</w:t>
      </w:r>
      <w:r>
        <w:rPr>
          <w:rFonts w:hint="eastAsia" w:ascii="宋体" w:hAnsi="宋体" w:cs="Courier New"/>
          <w:kern w:val="0"/>
          <w:sz w:val="24"/>
          <w:szCs w:val="24"/>
          <w:lang w:val="zh-TW" w:eastAsia="zh-CN"/>
        </w:rPr>
        <w:t>。（</w:t>
      </w:r>
      <w:r>
        <w:rPr>
          <w:rFonts w:hint="eastAsia" w:ascii="宋体" w:hAnsi="宋体" w:cs="Courier New"/>
          <w:kern w:val="0"/>
          <w:sz w:val="24"/>
          <w:szCs w:val="24"/>
        </w:rPr>
        <w:t>为保证产品质量，投标</w:t>
      </w:r>
      <w:r>
        <w:rPr>
          <w:rFonts w:hint="eastAsia" w:ascii="宋体" w:hAnsi="宋体" w:eastAsia="宋体" w:cs="Courier New"/>
          <w:kern w:val="0"/>
          <w:sz w:val="24"/>
          <w:szCs w:val="24"/>
          <w:lang w:val="en-US" w:eastAsia="zh-CN"/>
        </w:rPr>
        <w:t>报价低于采购预算</w:t>
      </w:r>
      <w:r>
        <w:rPr>
          <w:rFonts w:hint="eastAsia" w:ascii="宋体" w:hAnsi="宋体" w:cs="Courier New"/>
          <w:kern w:val="0"/>
          <w:sz w:val="24"/>
          <w:szCs w:val="24"/>
          <w:lang w:val="en-US" w:eastAsia="zh-CN"/>
        </w:rPr>
        <w:t>5</w:t>
      </w:r>
      <w:r>
        <w:rPr>
          <w:rFonts w:hint="eastAsia" w:ascii="宋体" w:hAnsi="宋体" w:eastAsia="宋体" w:cs="Courier New"/>
          <w:kern w:val="0"/>
          <w:sz w:val="24"/>
          <w:szCs w:val="24"/>
          <w:lang w:val="en-US" w:eastAsia="zh-CN"/>
        </w:rPr>
        <w:t>0%时，询价小组将对其进行成本分析，询价小组认为报价低于成本价时将否决其投标</w:t>
      </w:r>
      <w:r>
        <w:rPr>
          <w:rFonts w:hint="eastAsia" w:ascii="宋体" w:hAnsi="宋体" w:eastAsia="宋体" w:cs="Courier New"/>
          <w:kern w:val="0"/>
          <w:sz w:val="24"/>
          <w:szCs w:val="24"/>
          <w:lang w:val="zh-TW" w:eastAsia="zh-CN"/>
        </w:rPr>
        <w:t>）</w:t>
      </w:r>
    </w:p>
    <w:p>
      <w:pPr>
        <w:pStyle w:val="10"/>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10"/>
        <w:spacing w:line="440" w:lineRule="exact"/>
        <w:rPr>
          <w:rFonts w:hint="eastAsia" w:ascii="宋体" w:hAnsi="宋体" w:eastAsia="宋体" w:cs="宋体"/>
          <w:color w:val="000000"/>
          <w:sz w:val="24"/>
          <w:szCs w:val="24"/>
          <w:u w:val="single"/>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代表或授权代表签字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pStyle w:val="26"/>
        <w:tabs>
          <w:tab w:val="left" w:pos="1800"/>
        </w:tabs>
        <w:spacing w:before="0" w:beforeLines="0" w:line="440" w:lineRule="exact"/>
        <w:jc w:val="both"/>
        <w:rPr>
          <w:rFonts w:hint="eastAsia" w:ascii="宋体" w:hAnsi="宋体" w:eastAsia="楷体_GB2312"/>
          <w:b w:val="0"/>
          <w:color w:val="000000"/>
          <w:sz w:val="24"/>
          <w:szCs w:val="24"/>
          <w:lang w:eastAsia="zh-CN"/>
        </w:rPr>
      </w:pPr>
      <w:r>
        <w:rPr>
          <w:rFonts w:hint="eastAsia" w:ascii="宋体" w:hAnsi="宋体" w:eastAsia="宋体"/>
          <w:b w:val="0"/>
          <w:bCs w:val="0"/>
          <w:color w:val="000000"/>
          <w:sz w:val="24"/>
          <w:szCs w:val="24"/>
        </w:rPr>
        <w:t>日期</w:t>
      </w:r>
      <w:r>
        <w:rPr>
          <w:rFonts w:hint="eastAsia" w:ascii="宋体" w:hAnsi="宋体" w:eastAsia="宋体"/>
          <w:color w:val="000000"/>
          <w:sz w:val="24"/>
          <w:szCs w:val="24"/>
        </w:rPr>
        <w:t>：</w:t>
      </w:r>
      <w:r>
        <w:rPr>
          <w:rFonts w:hint="eastAsia" w:ascii="宋体" w:hAnsi="宋体" w:eastAsia="宋体"/>
          <w:color w:val="000000"/>
          <w:sz w:val="24"/>
          <w:szCs w:val="24"/>
          <w:u w:val="single"/>
        </w:rPr>
        <w:t xml:space="preserve">                                         </w:t>
      </w:r>
      <w:r>
        <w:rPr>
          <w:rFonts w:hint="eastAsia" w:ascii="宋体" w:hAnsi="宋体" w:eastAsia="宋体"/>
          <w:bCs w:val="0"/>
          <w:color w:val="000000"/>
          <w:sz w:val="24"/>
          <w:szCs w:val="24"/>
        </w:rPr>
        <w:br w:type="page"/>
      </w:r>
      <w:r>
        <w:rPr>
          <w:rFonts w:hint="eastAsia" w:ascii="楷体_GB2312" w:hAnsi="宋体" w:eastAsia="楷体_GB2312" w:cs="Times New Roman"/>
          <w:bCs w:val="0"/>
          <w:color w:val="000000"/>
          <w:sz w:val="24"/>
          <w:szCs w:val="24"/>
        </w:rPr>
        <w:t>附件</w:t>
      </w:r>
      <w:r>
        <w:rPr>
          <w:rFonts w:hint="eastAsia" w:ascii="楷体_GB2312" w:hAnsi="宋体" w:eastAsia="楷体_GB2312" w:cs="Times New Roman"/>
          <w:bCs w:val="0"/>
          <w:color w:val="000000"/>
          <w:sz w:val="24"/>
          <w:szCs w:val="24"/>
          <w:lang w:val="en-US" w:eastAsia="zh-CN"/>
        </w:rPr>
        <w:t>三</w:t>
      </w:r>
    </w:p>
    <w:p>
      <w:pPr>
        <w:spacing w:line="440" w:lineRule="exact"/>
        <w:jc w:val="center"/>
        <w:rPr>
          <w:rFonts w:ascii="方正小标宋简体" w:hAnsi="宋体" w:eastAsia="方正小标宋简体"/>
          <w:sz w:val="32"/>
          <w:szCs w:val="32"/>
        </w:rPr>
      </w:pPr>
      <w:bookmarkStart w:id="121" w:name="_Toc13747_WPSOffice_Level1"/>
      <w:bookmarkStart w:id="122" w:name="_Toc13275_WPSOffice_Level1"/>
      <w:bookmarkStart w:id="123" w:name="_Toc17250_WPSOffice_Level1"/>
      <w:r>
        <w:rPr>
          <w:rFonts w:hint="eastAsia" w:ascii="方正小标宋简体" w:hAnsi="宋体" w:eastAsia="方正小标宋简体"/>
          <w:sz w:val="32"/>
          <w:szCs w:val="32"/>
        </w:rPr>
        <w:t>资格性符合性检查对照表</w:t>
      </w:r>
      <w:bookmarkEnd w:id="121"/>
      <w:bookmarkEnd w:id="122"/>
      <w:bookmarkEnd w:id="123"/>
    </w:p>
    <w:p>
      <w:pPr>
        <w:spacing w:line="440" w:lineRule="exact"/>
        <w:jc w:val="center"/>
        <w:rPr>
          <w:rFonts w:ascii="宋体" w:hAnsi="宋体"/>
          <w:sz w:val="24"/>
          <w:szCs w:val="24"/>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4"/>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31"/>
              <w:spacing w:before="58" w:line="302" w:lineRule="auto"/>
              <w:ind w:left="111" w:right="100"/>
              <w:rPr>
                <w:sz w:val="24"/>
                <w:szCs w:val="24"/>
              </w:rPr>
            </w:pPr>
            <w:r>
              <w:rPr>
                <w:sz w:val="24"/>
                <w:szCs w:val="24"/>
              </w:rPr>
              <w:t>序号</w:t>
            </w:r>
          </w:p>
        </w:tc>
        <w:tc>
          <w:tcPr>
            <w:tcW w:w="4318" w:type="dxa"/>
            <w:gridSpan w:val="2"/>
            <w:noWrap w:val="0"/>
            <w:vAlign w:val="top"/>
          </w:tcPr>
          <w:p>
            <w:pPr>
              <w:pStyle w:val="31"/>
              <w:spacing w:before="9"/>
              <w:rPr>
                <w:sz w:val="24"/>
                <w:szCs w:val="24"/>
              </w:rPr>
            </w:pPr>
          </w:p>
          <w:p>
            <w:pPr>
              <w:pStyle w:val="31"/>
              <w:ind w:right="2019" w:firstLine="720" w:firstLineChars="300"/>
              <w:jc w:val="both"/>
              <w:rPr>
                <w:sz w:val="24"/>
                <w:szCs w:val="24"/>
              </w:rPr>
            </w:pPr>
            <w:r>
              <w:rPr>
                <w:sz w:val="24"/>
                <w:szCs w:val="24"/>
              </w:rPr>
              <w:t>资格要求</w:t>
            </w:r>
          </w:p>
        </w:tc>
        <w:tc>
          <w:tcPr>
            <w:tcW w:w="4967" w:type="dxa"/>
            <w:noWrap w:val="0"/>
            <w:vAlign w:val="top"/>
          </w:tcPr>
          <w:p>
            <w:pPr>
              <w:pStyle w:val="31"/>
              <w:spacing w:before="9"/>
              <w:rPr>
                <w:sz w:val="24"/>
                <w:szCs w:val="24"/>
              </w:rPr>
            </w:pPr>
          </w:p>
          <w:p>
            <w:pPr>
              <w:pStyle w:val="31"/>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spacing w:before="5"/>
              <w:rPr>
                <w:sz w:val="24"/>
                <w:szCs w:val="24"/>
              </w:rPr>
            </w:pPr>
          </w:p>
          <w:p>
            <w:pPr>
              <w:pStyle w:val="31"/>
              <w:ind w:left="248"/>
              <w:rPr>
                <w:sz w:val="24"/>
                <w:szCs w:val="24"/>
              </w:rPr>
            </w:pPr>
            <w:r>
              <w:rPr>
                <w:sz w:val="24"/>
                <w:szCs w:val="24"/>
              </w:rPr>
              <w:t>1</w:t>
            </w:r>
          </w:p>
        </w:tc>
        <w:tc>
          <w:tcPr>
            <w:tcW w:w="1398" w:type="dxa"/>
            <w:vMerge w:val="restart"/>
            <w:noWrap w:val="0"/>
            <w:vAlign w:val="top"/>
          </w:tcPr>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rPr>
                <w:sz w:val="24"/>
                <w:szCs w:val="24"/>
              </w:rPr>
            </w:pPr>
          </w:p>
          <w:p>
            <w:pPr>
              <w:pStyle w:val="31"/>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1"/>
              <w:rPr>
                <w:sz w:val="24"/>
                <w:szCs w:val="24"/>
              </w:rPr>
            </w:pPr>
          </w:p>
          <w:p>
            <w:pPr>
              <w:pStyle w:val="31"/>
              <w:rPr>
                <w:sz w:val="24"/>
                <w:szCs w:val="24"/>
              </w:rPr>
            </w:pPr>
          </w:p>
          <w:p>
            <w:pPr>
              <w:pStyle w:val="31"/>
              <w:rPr>
                <w:sz w:val="24"/>
                <w:szCs w:val="24"/>
              </w:rPr>
            </w:pPr>
          </w:p>
          <w:p>
            <w:pPr>
              <w:pStyle w:val="31"/>
              <w:spacing w:before="8"/>
              <w:rPr>
                <w:sz w:val="24"/>
                <w:szCs w:val="24"/>
              </w:rPr>
            </w:pPr>
          </w:p>
          <w:p>
            <w:pPr>
              <w:pStyle w:val="31"/>
              <w:ind w:left="106"/>
              <w:rPr>
                <w:sz w:val="24"/>
                <w:szCs w:val="24"/>
              </w:rPr>
            </w:pPr>
            <w:r>
              <w:rPr>
                <w:sz w:val="24"/>
                <w:szCs w:val="24"/>
              </w:rPr>
              <w:t>具有独立承担民事责任的能力</w:t>
            </w:r>
          </w:p>
        </w:tc>
        <w:tc>
          <w:tcPr>
            <w:tcW w:w="4967" w:type="dxa"/>
            <w:noWrap w:val="0"/>
            <w:vAlign w:val="top"/>
          </w:tcPr>
          <w:p>
            <w:pPr>
              <w:pStyle w:val="31"/>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1"/>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1"/>
              <w:spacing w:before="58" w:line="302" w:lineRule="auto"/>
              <w:ind w:left="106" w:right="98"/>
              <w:rPr>
                <w:sz w:val="24"/>
                <w:szCs w:val="24"/>
              </w:rPr>
            </w:pPr>
            <w:r>
              <w:rPr>
                <w:sz w:val="24"/>
                <w:szCs w:val="24"/>
              </w:rPr>
              <w:t>具有良好的商业信誉和健全的财务会计制度</w:t>
            </w:r>
          </w:p>
        </w:tc>
        <w:tc>
          <w:tcPr>
            <w:tcW w:w="4967" w:type="dxa"/>
            <w:noWrap w:val="0"/>
            <w:vAlign w:val="top"/>
          </w:tcPr>
          <w:p>
            <w:pPr>
              <w:pStyle w:val="31"/>
              <w:spacing w:before="59" w:line="242" w:lineRule="auto"/>
              <w:ind w:left="108" w:right="95"/>
              <w:jc w:val="both"/>
              <w:rPr>
                <w:sz w:val="24"/>
                <w:szCs w:val="24"/>
              </w:rPr>
            </w:pPr>
            <w:r>
              <w:rPr>
                <w:rFonts w:hint="eastAsia"/>
                <w:sz w:val="24"/>
                <w:szCs w:val="24"/>
              </w:rPr>
              <w:t>提供2021 年或 2022 年度财务状况报告</w:t>
            </w:r>
            <w:r>
              <w:rPr>
                <w:rFonts w:hint="eastAsia"/>
                <w:sz w:val="24"/>
                <w:szCs w:val="24"/>
                <w:lang w:eastAsia="zh-CN"/>
              </w:rPr>
              <w:t>或</w:t>
            </w:r>
            <w:r>
              <w:rPr>
                <w:rFonts w:hint="eastAsia"/>
                <w:sz w:val="24"/>
                <w:szCs w:val="24"/>
              </w:rPr>
              <w:t>财务状况报表复印件加盖公章复印件加盖公章（公司成立未满一年的提供投标截止时间前三个月财务状况复印件加盖公章）</w:t>
            </w:r>
            <w:r>
              <w:rPr>
                <w:rFonts w:hint="eastAsia"/>
                <w:sz w:val="24"/>
                <w:szCs w:val="24"/>
                <w:lang w:eastAsia="zh-CN"/>
              </w:rPr>
              <w:t>或</w:t>
            </w:r>
            <w:r>
              <w:rPr>
                <w:b w:val="0"/>
                <w:bCs/>
                <w:color w:val="auto"/>
                <w:spacing w:val="-10"/>
                <w:sz w:val="24"/>
                <w:szCs w:val="24"/>
              </w:rPr>
              <w:t>提供盖章的《资格条件承诺函》，</w:t>
            </w:r>
            <w:r>
              <w:rPr>
                <w:rFonts w:hint="eastAsia" w:ascii="宋体" w:hAnsi="宋体" w:eastAsia="宋体" w:cs="宋体"/>
                <w:sz w:val="24"/>
                <w:szCs w:val="24"/>
              </w:rPr>
              <w:t>承诺满足条件（格式详见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文件第</w:t>
            </w:r>
            <w:r>
              <w:rPr>
                <w:rFonts w:hint="eastAsia" w:ascii="宋体" w:hAnsi="宋体" w:eastAsia="宋体" w:cs="宋体"/>
                <w:sz w:val="24"/>
                <w:szCs w:val="24"/>
                <w:lang w:val="en-US" w:eastAsia="zh-CN"/>
              </w:rPr>
              <w:t>五</w:t>
            </w:r>
            <w:r>
              <w:rPr>
                <w:rFonts w:hint="eastAsia" w:ascii="宋体" w:hAnsi="宋体" w:eastAsia="宋体" w:cs="宋体"/>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1"/>
              <w:spacing w:before="58" w:line="302" w:lineRule="auto"/>
              <w:ind w:left="106" w:right="98"/>
              <w:rPr>
                <w:sz w:val="24"/>
                <w:szCs w:val="24"/>
              </w:rPr>
            </w:pPr>
            <w:r>
              <w:rPr>
                <w:sz w:val="24"/>
                <w:szCs w:val="24"/>
              </w:rPr>
              <w:t>有依法缴纳税收和社会保障资金的良好记录</w:t>
            </w:r>
          </w:p>
        </w:tc>
        <w:tc>
          <w:tcPr>
            <w:tcW w:w="4967" w:type="dxa"/>
            <w:noWrap w:val="0"/>
            <w:vAlign w:val="top"/>
          </w:tcPr>
          <w:p>
            <w:pPr>
              <w:bidi w:val="0"/>
              <w:jc w:val="left"/>
              <w:rPr>
                <w:rFonts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提供近一年任意一个月依法缴纳税收及社会保障金缴纳证明材料复印件</w:t>
            </w:r>
            <w:r>
              <w:rPr>
                <w:rFonts w:hint="eastAsia"/>
                <w:sz w:val="24"/>
                <w:szCs w:val="24"/>
                <w:lang w:eastAsia="zh-CN"/>
              </w:rPr>
              <w:t>或</w:t>
            </w:r>
            <w:r>
              <w:rPr>
                <w:b w:val="0"/>
                <w:bCs/>
                <w:color w:val="auto"/>
                <w:spacing w:val="-10"/>
                <w:sz w:val="24"/>
                <w:szCs w:val="24"/>
              </w:rPr>
              <w:t>提供盖章的《资格条件承诺函》，</w:t>
            </w:r>
            <w:r>
              <w:rPr>
                <w:rFonts w:hint="eastAsia" w:ascii="宋体" w:hAnsi="宋体" w:eastAsia="宋体" w:cs="宋体"/>
                <w:sz w:val="24"/>
                <w:szCs w:val="24"/>
              </w:rPr>
              <w:t>承诺满足条件（格式详见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文件第</w:t>
            </w:r>
            <w:r>
              <w:rPr>
                <w:rFonts w:hint="eastAsia" w:ascii="宋体" w:hAnsi="宋体" w:eastAsia="宋体" w:cs="宋体"/>
                <w:sz w:val="24"/>
                <w:szCs w:val="24"/>
                <w:lang w:val="en-US" w:eastAsia="zh-CN"/>
              </w:rPr>
              <w:t>五</w:t>
            </w:r>
            <w:r>
              <w:rPr>
                <w:rFonts w:hint="eastAsia" w:ascii="宋体" w:hAnsi="宋体" w:eastAsia="宋体" w:cs="宋体"/>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1"/>
              <w:spacing w:before="59" w:line="302" w:lineRule="auto"/>
              <w:ind w:left="106" w:right="98"/>
              <w:rPr>
                <w:sz w:val="24"/>
                <w:szCs w:val="24"/>
              </w:rPr>
            </w:pPr>
            <w:r>
              <w:rPr>
                <w:sz w:val="24"/>
                <w:szCs w:val="24"/>
              </w:rPr>
              <w:t>参加政府采购活动前三年内，在经营活动中没有重大违法记录</w:t>
            </w:r>
          </w:p>
        </w:tc>
        <w:tc>
          <w:tcPr>
            <w:tcW w:w="4967" w:type="dxa"/>
            <w:noWrap w:val="0"/>
            <w:vAlign w:val="top"/>
          </w:tcPr>
          <w:p>
            <w:pPr>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参加政府采购活动前三年内，在经营活动中没有重大违法记录的声明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1"/>
              <w:spacing w:before="10"/>
              <w:rPr>
                <w:sz w:val="24"/>
                <w:szCs w:val="24"/>
              </w:rPr>
            </w:pPr>
          </w:p>
          <w:p>
            <w:pPr>
              <w:pStyle w:val="31"/>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1"/>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1"/>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1"/>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1"/>
              <w:rPr>
                <w:sz w:val="24"/>
                <w:szCs w:val="24"/>
              </w:rPr>
            </w:pPr>
          </w:p>
          <w:p>
            <w:pPr>
              <w:pStyle w:val="31"/>
              <w:spacing w:before="1"/>
              <w:rPr>
                <w:sz w:val="24"/>
                <w:szCs w:val="24"/>
              </w:rPr>
            </w:pPr>
          </w:p>
          <w:p>
            <w:pPr>
              <w:pStyle w:val="31"/>
              <w:ind w:left="106"/>
              <w:rPr>
                <w:sz w:val="24"/>
                <w:szCs w:val="24"/>
              </w:rPr>
            </w:pPr>
            <w:r>
              <w:rPr>
                <w:sz w:val="24"/>
                <w:szCs w:val="24"/>
              </w:rPr>
              <w:t>法律、行政法规规定的其他条件</w:t>
            </w:r>
          </w:p>
        </w:tc>
        <w:tc>
          <w:tcPr>
            <w:tcW w:w="4967" w:type="dxa"/>
            <w:noWrap w:val="0"/>
            <w:vAlign w:val="top"/>
          </w:tcPr>
          <w:p>
            <w:pPr>
              <w:pStyle w:val="31"/>
              <w:spacing w:before="58" w:line="242" w:lineRule="auto"/>
              <w:ind w:left="108" w:right="19"/>
              <w:rPr>
                <w:color w:val="auto"/>
                <w:sz w:val="24"/>
                <w:szCs w:val="24"/>
              </w:rPr>
            </w:pPr>
            <w:r>
              <w:rPr>
                <w:color w:val="auto"/>
                <w:sz w:val="24"/>
                <w:szCs w:val="24"/>
              </w:rPr>
              <w:t>具备法律、行政法规规定的其他条件的证明材料。</w:t>
            </w:r>
          </w:p>
          <w:p>
            <w:pPr>
              <w:pStyle w:val="31"/>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1"/>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31"/>
              <w:rPr>
                <w:sz w:val="24"/>
                <w:szCs w:val="24"/>
              </w:rPr>
            </w:pPr>
          </w:p>
          <w:p>
            <w:pPr>
              <w:pStyle w:val="31"/>
              <w:rPr>
                <w:sz w:val="24"/>
                <w:szCs w:val="24"/>
              </w:rPr>
            </w:pPr>
          </w:p>
          <w:p>
            <w:pPr>
              <w:pStyle w:val="31"/>
              <w:spacing w:before="5"/>
              <w:rPr>
                <w:sz w:val="24"/>
                <w:szCs w:val="24"/>
              </w:rPr>
            </w:pPr>
          </w:p>
          <w:p>
            <w:pPr>
              <w:pStyle w:val="31"/>
              <w:ind w:right="83"/>
              <w:jc w:val="right"/>
              <w:rPr>
                <w:sz w:val="24"/>
                <w:szCs w:val="24"/>
              </w:rPr>
            </w:pPr>
            <w:r>
              <w:rPr>
                <w:sz w:val="24"/>
                <w:szCs w:val="24"/>
              </w:rPr>
              <w:t>2</w:t>
            </w:r>
          </w:p>
        </w:tc>
        <w:tc>
          <w:tcPr>
            <w:tcW w:w="4318" w:type="dxa"/>
            <w:gridSpan w:val="2"/>
            <w:noWrap w:val="0"/>
            <w:vAlign w:val="top"/>
          </w:tcPr>
          <w:p>
            <w:pPr>
              <w:pStyle w:val="31"/>
              <w:numPr>
                <w:ilvl w:val="1"/>
                <w:numId w:val="4"/>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1"/>
              <w:numPr>
                <w:ilvl w:val="1"/>
                <w:numId w:val="4"/>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1"/>
              <w:rPr>
                <w:sz w:val="24"/>
                <w:szCs w:val="24"/>
              </w:rPr>
            </w:pPr>
          </w:p>
          <w:p>
            <w:pPr>
              <w:pStyle w:val="31"/>
              <w:spacing w:before="1"/>
              <w:rPr>
                <w:sz w:val="24"/>
                <w:szCs w:val="24"/>
              </w:rPr>
            </w:pPr>
          </w:p>
          <w:p>
            <w:pPr>
              <w:pStyle w:val="31"/>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1"/>
              <w:spacing w:before="58"/>
              <w:ind w:right="83"/>
              <w:jc w:val="right"/>
              <w:rPr>
                <w:sz w:val="24"/>
                <w:szCs w:val="24"/>
              </w:rPr>
            </w:pPr>
            <w:r>
              <w:rPr>
                <w:sz w:val="24"/>
                <w:szCs w:val="24"/>
              </w:rPr>
              <w:t>3</w:t>
            </w:r>
          </w:p>
        </w:tc>
        <w:tc>
          <w:tcPr>
            <w:tcW w:w="4318" w:type="dxa"/>
            <w:gridSpan w:val="2"/>
            <w:noWrap w:val="0"/>
            <w:vAlign w:val="top"/>
          </w:tcPr>
          <w:p>
            <w:pPr>
              <w:pStyle w:val="31"/>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1"/>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1"/>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1"/>
              <w:spacing w:before="55"/>
              <w:ind w:left="0" w:leftChars="0" w:right="83" w:rightChars="0"/>
              <w:jc w:val="right"/>
              <w:rPr>
                <w:sz w:val="24"/>
                <w:szCs w:val="24"/>
              </w:rPr>
            </w:pPr>
            <w:r>
              <w:rPr>
                <w:sz w:val="24"/>
                <w:szCs w:val="24"/>
              </w:rPr>
              <w:t>4</w:t>
            </w:r>
          </w:p>
        </w:tc>
        <w:tc>
          <w:tcPr>
            <w:tcW w:w="4318" w:type="dxa"/>
            <w:gridSpan w:val="2"/>
            <w:noWrap w:val="0"/>
            <w:vAlign w:val="top"/>
          </w:tcPr>
          <w:p>
            <w:pPr>
              <w:pStyle w:val="31"/>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1"/>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1"/>
              <w:spacing w:before="5"/>
              <w:rPr>
                <w:sz w:val="24"/>
                <w:szCs w:val="24"/>
              </w:rPr>
            </w:pPr>
          </w:p>
          <w:p>
            <w:pPr>
              <w:pStyle w:val="31"/>
              <w:ind w:left="0" w:leftChars="0" w:right="83" w:rightChars="0"/>
              <w:jc w:val="right"/>
              <w:rPr>
                <w:sz w:val="24"/>
                <w:szCs w:val="24"/>
              </w:rPr>
            </w:pPr>
            <w:r>
              <w:rPr>
                <w:sz w:val="24"/>
                <w:szCs w:val="24"/>
              </w:rPr>
              <w:t>5</w:t>
            </w:r>
          </w:p>
        </w:tc>
        <w:tc>
          <w:tcPr>
            <w:tcW w:w="4318" w:type="dxa"/>
            <w:gridSpan w:val="2"/>
            <w:noWrap w:val="0"/>
            <w:vAlign w:val="top"/>
          </w:tcPr>
          <w:p>
            <w:pPr>
              <w:pStyle w:val="31"/>
              <w:spacing w:before="5"/>
              <w:rPr>
                <w:sz w:val="24"/>
                <w:szCs w:val="24"/>
              </w:rPr>
            </w:pPr>
          </w:p>
          <w:p>
            <w:pPr>
              <w:pStyle w:val="31"/>
              <w:ind w:left="108" w:leftChars="0" w:right="0" w:rightChars="0"/>
              <w:rPr>
                <w:sz w:val="24"/>
                <w:szCs w:val="24"/>
              </w:rPr>
            </w:pPr>
            <w:r>
              <w:rPr>
                <w:sz w:val="24"/>
                <w:szCs w:val="24"/>
              </w:rPr>
              <w:t>落实政府采购政策需满足的资格要求</w:t>
            </w:r>
          </w:p>
        </w:tc>
        <w:tc>
          <w:tcPr>
            <w:tcW w:w="4967" w:type="dxa"/>
            <w:noWrap w:val="0"/>
            <w:vAlign w:val="top"/>
          </w:tcPr>
          <w:p>
            <w:pPr>
              <w:pStyle w:val="31"/>
              <w:spacing w:before="54" w:line="302" w:lineRule="auto"/>
              <w:ind w:left="108" w:leftChars="0" w:right="19" w:rightChars="0"/>
              <w:rPr>
                <w:sz w:val="24"/>
                <w:szCs w:val="24"/>
              </w:rPr>
            </w:pPr>
            <w:r>
              <w:rPr>
                <w:sz w:val="24"/>
                <w:szCs w:val="24"/>
              </w:rPr>
              <w:t>专门面向中小企业采购，需提供《中小企业声明函》</w:t>
            </w:r>
          </w:p>
        </w:tc>
      </w:tr>
    </w:tbl>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4"/>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1"/>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adjustRightInd w:val="0"/>
        <w:snapToGrid w:val="0"/>
        <w:spacing w:line="440" w:lineRule="exact"/>
        <w:ind w:firstLine="480" w:firstLineChars="200"/>
        <w:rPr>
          <w:rFonts w:ascii="宋体" w:hAnsi="宋体"/>
          <w:sz w:val="24"/>
          <w:szCs w:val="24"/>
        </w:rPr>
      </w:pPr>
    </w:p>
    <w:p>
      <w:pPr>
        <w:adjustRightInd w:val="0"/>
        <w:snapToGrid w:val="0"/>
        <w:spacing w:line="440" w:lineRule="exact"/>
        <w:rPr>
          <w:rFonts w:ascii="宋体" w:hAnsi="宋体"/>
          <w:sz w:val="24"/>
          <w:szCs w:val="24"/>
        </w:rPr>
      </w:pPr>
    </w:p>
    <w:p>
      <w:pPr>
        <w:pStyle w:val="10"/>
        <w:spacing w:line="440" w:lineRule="exact"/>
        <w:rPr>
          <w:rFonts w:hAnsi="宋体"/>
          <w:color w:val="000000"/>
          <w:sz w:val="24"/>
          <w:szCs w:val="24"/>
          <w:u w:val="single"/>
        </w:rPr>
      </w:pPr>
      <w:r>
        <w:rPr>
          <w:rFonts w:hAnsi="宋体"/>
          <w:color w:val="000000"/>
          <w:sz w:val="24"/>
          <w:szCs w:val="24"/>
        </w:rPr>
        <w:t>供应商名称（公章）：</w:t>
      </w:r>
      <w:r>
        <w:rPr>
          <w:rFonts w:hAnsi="宋体"/>
          <w:color w:val="000000"/>
          <w:sz w:val="24"/>
          <w:szCs w:val="24"/>
          <w:u w:val="single"/>
        </w:rPr>
        <w:t xml:space="preserve">                           </w:t>
      </w:r>
    </w:p>
    <w:p>
      <w:pPr>
        <w:pStyle w:val="10"/>
        <w:spacing w:line="440" w:lineRule="exact"/>
        <w:rPr>
          <w:rFonts w:hAnsi="宋体"/>
          <w:color w:val="000000"/>
          <w:sz w:val="24"/>
          <w:szCs w:val="24"/>
          <w:u w:val="single"/>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代表或授权代表签字</w:t>
      </w:r>
      <w:r>
        <w:rPr>
          <w:rFonts w:hAnsi="宋体"/>
          <w:color w:val="000000"/>
          <w:sz w:val="24"/>
          <w:szCs w:val="24"/>
        </w:rPr>
        <w:t>:</w:t>
      </w:r>
      <w:r>
        <w:rPr>
          <w:rFonts w:hAnsi="宋体"/>
          <w:color w:val="000000"/>
          <w:sz w:val="24"/>
          <w:szCs w:val="24"/>
          <w:u w:val="single"/>
        </w:rPr>
        <w:t xml:space="preserve">     </w:t>
      </w:r>
      <w:r>
        <w:rPr>
          <w:rFonts w:hint="eastAsia" w:hAnsi="宋体" w:eastAsia="宋体"/>
          <w:color w:val="000000"/>
          <w:sz w:val="24"/>
          <w:szCs w:val="24"/>
          <w:u w:val="single"/>
          <w:lang w:val="en-US" w:eastAsia="zh-CN"/>
        </w:rPr>
        <w:t xml:space="preserve">      </w:t>
      </w:r>
      <w:r>
        <w:rPr>
          <w:rFonts w:hAnsi="宋体"/>
          <w:color w:val="000000"/>
          <w:sz w:val="24"/>
          <w:szCs w:val="24"/>
          <w:u w:val="single"/>
        </w:rPr>
        <w:t xml:space="preserve">    </w:t>
      </w:r>
    </w:p>
    <w:p>
      <w:pPr>
        <w:adjustRightInd w:val="0"/>
        <w:snapToGrid w:val="0"/>
        <w:spacing w:line="440" w:lineRule="exact"/>
        <w:outlineLvl w:val="0"/>
        <w:rPr>
          <w:color w:val="000000"/>
          <w:sz w:val="24"/>
          <w:szCs w:val="24"/>
          <w:u w:val="single"/>
        </w:rPr>
      </w:pPr>
      <w:r>
        <w:rPr>
          <w:rFonts w:hint="eastAsia" w:ascii="宋体" w:hAnsi="宋体"/>
          <w:color w:val="000000"/>
          <w:sz w:val="24"/>
          <w:szCs w:val="24"/>
        </w:rPr>
        <w:t>日期</w:t>
      </w:r>
      <w:r>
        <w:rPr>
          <w:rFonts w:ascii="宋体" w:hAnsi="宋体"/>
          <w:color w:val="000000"/>
          <w:sz w:val="24"/>
          <w:szCs w:val="24"/>
        </w:rPr>
        <w:t>：</w:t>
      </w:r>
      <w:r>
        <w:rPr>
          <w:rFonts w:ascii="宋体" w:hAnsi="宋体"/>
          <w:color w:val="000000"/>
          <w:sz w:val="24"/>
          <w:szCs w:val="24"/>
          <w:u w:val="single"/>
        </w:rPr>
        <w:t xml:space="preserve">                                         </w:t>
      </w:r>
    </w:p>
    <w:p>
      <w:pPr>
        <w:snapToGrid w:val="0"/>
        <w:spacing w:line="440" w:lineRule="exact"/>
        <w:rPr>
          <w:rFonts w:ascii="宋体" w:hAnsi="宋体"/>
          <w:color w:val="000000"/>
          <w:sz w:val="24"/>
          <w:szCs w:val="24"/>
          <w:u w:val="single"/>
        </w:rPr>
      </w:pPr>
    </w:p>
    <w:p>
      <w:pPr>
        <w:spacing w:line="440" w:lineRule="exact"/>
        <w:rPr>
          <w:rFonts w:hint="eastAsia" w:ascii="楷体_GB2312" w:hAnsi="宋体" w:eastAsia="楷体_GB2312"/>
          <w:b/>
          <w:bCs/>
          <w:color w:val="000000"/>
          <w:sz w:val="24"/>
          <w:szCs w:val="24"/>
        </w:rPr>
      </w:pPr>
      <w:r>
        <w:rPr>
          <w:rFonts w:ascii="宋体" w:hAnsi="宋体" w:eastAsia="宋体"/>
          <w:color w:val="000000"/>
          <w:sz w:val="24"/>
          <w:szCs w:val="24"/>
        </w:rPr>
        <w:br w:type="page"/>
      </w:r>
      <w:bookmarkStart w:id="124" w:name="_Toc15745_WPSOffice_Level1"/>
      <w:bookmarkStart w:id="125" w:name="_Toc6175_WPSOffice_Level1"/>
      <w:bookmarkStart w:id="126" w:name="_Toc8815_WPSOffice_Level1"/>
      <w:r>
        <w:rPr>
          <w:rFonts w:hint="eastAsia" w:ascii="楷体_GB2312" w:hAnsi="宋体" w:eastAsia="楷体_GB2312"/>
          <w:b/>
          <w:bCs/>
          <w:color w:val="000000"/>
          <w:sz w:val="24"/>
          <w:szCs w:val="24"/>
        </w:rPr>
        <w:t>附件</w:t>
      </w:r>
      <w:r>
        <w:rPr>
          <w:rFonts w:hint="eastAsia" w:ascii="楷体_GB2312" w:hAnsi="宋体" w:eastAsia="楷体_GB2312"/>
          <w:b/>
          <w:bCs/>
          <w:color w:val="000000"/>
          <w:sz w:val="24"/>
          <w:szCs w:val="24"/>
          <w:lang w:val="en-US" w:eastAsia="zh-CN"/>
        </w:rPr>
        <w:t>四</w:t>
      </w:r>
      <w:r>
        <w:rPr>
          <w:rFonts w:hint="eastAsia" w:ascii="楷体_GB2312" w:hAnsi="宋体" w:eastAsia="楷体_GB2312"/>
          <w:b/>
          <w:bCs/>
          <w:color w:val="000000"/>
          <w:sz w:val="24"/>
          <w:szCs w:val="24"/>
        </w:rPr>
        <w:t xml:space="preserve">  1-1</w:t>
      </w:r>
      <w:bookmarkEnd w:id="124"/>
      <w:bookmarkEnd w:id="125"/>
      <w:bookmarkEnd w:id="126"/>
    </w:p>
    <w:p>
      <w:pPr>
        <w:pStyle w:val="9"/>
        <w:rPr>
          <w:rFonts w:ascii="宋体" w:hAnsi="宋体" w:cs="宋体"/>
          <w:sz w:val="24"/>
          <w:szCs w:val="24"/>
        </w:rPr>
      </w:pPr>
      <w:r>
        <w:rPr>
          <w:rFonts w:hint="eastAsia" w:ascii="楷体_GB2312" w:hAnsi="宋体" w:eastAsia="楷体_GB2312"/>
          <w:b/>
          <w:bCs/>
          <w:color w:val="000000"/>
          <w:sz w:val="24"/>
          <w:szCs w:val="24"/>
        </w:rPr>
        <w:t xml:space="preserve">                   </w:t>
      </w:r>
      <w:r>
        <w:rPr>
          <w:rFonts w:hint="eastAsia"/>
          <w:bCs/>
          <w:color w:val="000000"/>
          <w:sz w:val="24"/>
          <w:szCs w:val="24"/>
        </w:rPr>
        <w:t xml:space="preserve"> </w:t>
      </w:r>
      <w:r>
        <w:rPr>
          <w:rFonts w:hint="eastAsia" w:ascii="宋体" w:hAnsi="宋体" w:cs="宋体"/>
          <w:sz w:val="32"/>
          <w:szCs w:val="32"/>
        </w:rPr>
        <w:t>法定代表人身份证明</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供应商名称：</w:t>
      </w:r>
    </w:p>
    <w:p>
      <w:pPr>
        <w:spacing w:line="360" w:lineRule="auto"/>
        <w:rPr>
          <w:rFonts w:ascii="宋体" w:hAnsi="宋体" w:cs="宋体"/>
          <w:sz w:val="24"/>
          <w:szCs w:val="24"/>
        </w:rPr>
      </w:pPr>
      <w:r>
        <w:rPr>
          <w:rFonts w:hint="eastAsia" w:ascii="宋体" w:hAnsi="宋体" w:cs="宋体"/>
          <w:sz w:val="24"/>
          <w:szCs w:val="24"/>
        </w:rPr>
        <w:t xml:space="preserve">    单位性质：</w:t>
      </w:r>
    </w:p>
    <w:p>
      <w:pPr>
        <w:spacing w:line="360" w:lineRule="auto"/>
        <w:rPr>
          <w:rFonts w:ascii="宋体" w:hAnsi="宋体" w:cs="宋体"/>
          <w:sz w:val="24"/>
          <w:szCs w:val="24"/>
        </w:rPr>
      </w:pPr>
      <w:r>
        <w:rPr>
          <w:rFonts w:hint="eastAsia" w:ascii="宋体" w:hAnsi="宋体" w:cs="宋体"/>
          <w:sz w:val="24"/>
          <w:szCs w:val="24"/>
        </w:rPr>
        <w:t xml:space="preserve">    地址：</w:t>
      </w:r>
    </w:p>
    <w:p>
      <w:pPr>
        <w:spacing w:line="360" w:lineRule="auto"/>
        <w:rPr>
          <w:rFonts w:ascii="宋体" w:hAnsi="宋体" w:cs="宋体"/>
          <w:sz w:val="24"/>
          <w:szCs w:val="24"/>
        </w:rPr>
      </w:pPr>
      <w:r>
        <w:rPr>
          <w:rFonts w:hint="eastAsia" w:ascii="宋体" w:hAnsi="宋体" w:cs="宋体"/>
          <w:sz w:val="24"/>
          <w:szCs w:val="24"/>
        </w:rPr>
        <w:t xml:space="preserve">    成立时间：  年  月  日</w:t>
      </w:r>
    </w:p>
    <w:p>
      <w:pPr>
        <w:spacing w:line="360" w:lineRule="auto"/>
        <w:rPr>
          <w:rFonts w:ascii="宋体" w:hAnsi="宋体" w:cs="宋体"/>
          <w:sz w:val="24"/>
          <w:szCs w:val="24"/>
        </w:rPr>
      </w:pPr>
      <w:r>
        <w:rPr>
          <w:rFonts w:hint="eastAsia" w:ascii="宋体" w:hAnsi="宋体" w:cs="宋体"/>
          <w:sz w:val="24"/>
          <w:szCs w:val="24"/>
        </w:rPr>
        <w:t xml:space="preserve">    经营期限：</w:t>
      </w:r>
    </w:p>
    <w:p>
      <w:pPr>
        <w:spacing w:line="360" w:lineRule="auto"/>
        <w:ind w:firstLine="435"/>
        <w:rPr>
          <w:rFonts w:ascii="宋体" w:hAnsi="宋体" w:cs="宋体"/>
          <w:sz w:val="24"/>
          <w:szCs w:val="24"/>
          <w:u w:val="single"/>
        </w:rPr>
      </w:pPr>
      <w:r>
        <w:rPr>
          <w:rFonts w:hint="eastAsia" w:ascii="宋体" w:hAnsi="宋体" w:cs="宋体"/>
          <w:sz w:val="24"/>
          <w:szCs w:val="24"/>
        </w:rPr>
        <w:t>姓名：    性别：    年龄：    职务：</w:t>
      </w:r>
    </w:p>
    <w:p>
      <w:pPr>
        <w:spacing w:line="360" w:lineRule="auto"/>
        <w:ind w:firstLine="435"/>
        <w:rPr>
          <w:rFonts w:ascii="宋体" w:hAnsi="宋体" w:cs="宋体"/>
          <w:sz w:val="24"/>
          <w:szCs w:val="24"/>
        </w:rPr>
      </w:pPr>
      <w:r>
        <w:rPr>
          <w:rFonts w:hint="eastAsia" w:ascii="宋体" w:hAnsi="宋体" w:cs="宋体"/>
          <w:sz w:val="24"/>
          <w:szCs w:val="24"/>
        </w:rPr>
        <w:t>系（供应商名称）的法定代表人。</w:t>
      </w:r>
    </w:p>
    <w:p>
      <w:pPr>
        <w:spacing w:line="360" w:lineRule="auto"/>
        <w:ind w:firstLine="435"/>
        <w:rPr>
          <w:rFonts w:ascii="宋体" w:hAnsi="宋体" w:cs="宋体"/>
          <w:sz w:val="24"/>
          <w:szCs w:val="24"/>
        </w:rPr>
      </w:pPr>
    </w:p>
    <w:p>
      <w:pPr>
        <w:spacing w:line="360" w:lineRule="auto"/>
        <w:ind w:firstLine="976" w:firstLineChars="407"/>
        <w:rPr>
          <w:rFonts w:ascii="宋体" w:hAnsi="宋体" w:cs="宋体"/>
          <w:sz w:val="24"/>
          <w:szCs w:val="24"/>
        </w:rPr>
      </w:pPr>
      <w:r>
        <w:rPr>
          <w:rFonts w:hint="eastAsia" w:ascii="宋体" w:hAnsi="宋体" w:cs="宋体"/>
          <w:sz w:val="24"/>
          <w:szCs w:val="24"/>
        </w:rPr>
        <w:t>特此证明。</w:t>
      </w:r>
    </w:p>
    <w:p>
      <w:pPr>
        <w:spacing w:line="360" w:lineRule="auto"/>
        <w:ind w:firstLine="435"/>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供应商：____________（盖单位章）</w:t>
      </w:r>
    </w:p>
    <w:p>
      <w:pPr>
        <w:spacing w:line="360" w:lineRule="auto"/>
        <w:jc w:val="right"/>
        <w:rPr>
          <w:rFonts w:ascii="宋体" w:hAnsi="宋体" w:cs="宋体"/>
          <w:sz w:val="24"/>
          <w:szCs w:val="24"/>
        </w:rPr>
      </w:pPr>
    </w:p>
    <w:p>
      <w:pPr>
        <w:spacing w:line="360" w:lineRule="auto"/>
        <w:ind w:firstLine="435"/>
        <w:jc w:val="right"/>
        <w:rPr>
          <w:rFonts w:ascii="宋体" w:hAnsi="宋体" w:cs="宋体"/>
          <w:sz w:val="24"/>
          <w:szCs w:val="24"/>
        </w:rPr>
      </w:pPr>
      <w:r>
        <w:rPr>
          <w:rFonts w:hint="eastAsia" w:ascii="宋体" w:hAnsi="宋体" w:cs="宋体"/>
          <w:sz w:val="24"/>
          <w:szCs w:val="24"/>
        </w:rPr>
        <w:t>______年______月______日</w:t>
      </w:r>
    </w:p>
    <w:p>
      <w:pPr>
        <w:spacing w:line="360" w:lineRule="auto"/>
        <w:rPr>
          <w:rFonts w:ascii="宋体" w:hAnsi="宋体" w:cs="宋体"/>
          <w:sz w:val="24"/>
          <w:szCs w:val="24"/>
        </w:rPr>
      </w:pPr>
    </w:p>
    <w:p>
      <w:pPr>
        <w:spacing w:line="360" w:lineRule="auto"/>
        <w:ind w:firstLine="435"/>
        <w:rPr>
          <w:rFonts w:ascii="宋体" w:hAnsi="宋体" w:cs="宋体"/>
          <w:sz w:val="24"/>
          <w:szCs w:val="24"/>
        </w:rPr>
      </w:pPr>
    </w:p>
    <w:p>
      <w:pPr>
        <w:spacing w:line="360" w:lineRule="auto"/>
        <w:ind w:firstLine="435"/>
        <w:rPr>
          <w:rFonts w:ascii="宋体" w:hAnsi="宋体" w:cs="宋体"/>
          <w:bCs/>
          <w:sz w:val="24"/>
          <w:szCs w:val="24"/>
        </w:rPr>
      </w:pPr>
      <w:r>
        <w:rPr>
          <w:rFonts w:hint="eastAsia" w:ascii="宋体" w:hAnsi="宋体" w:cs="宋体"/>
          <w:bCs/>
          <w:sz w:val="24"/>
          <w:szCs w:val="24"/>
        </w:rPr>
        <w:t>注:附法定代表人身份证复印件</w:t>
      </w: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r>
        <w:rPr>
          <w:rFonts w:hint="eastAsia" w:ascii="楷体_GB2312" w:hAnsi="宋体" w:eastAsia="楷体_GB2312"/>
          <w:b/>
          <w:bCs/>
          <w:color w:val="000000"/>
          <w:sz w:val="24"/>
          <w:szCs w:val="24"/>
        </w:rPr>
        <w:t xml:space="preserve">             </w:t>
      </w: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lang w:val="en-US" w:eastAsia="zh-CN"/>
        </w:rPr>
      </w:pPr>
      <w:bookmarkStart w:id="127" w:name="_Toc7311_WPSOffice_Level1"/>
      <w:bookmarkStart w:id="128" w:name="_Toc25168_WPSOffice_Level1"/>
      <w:bookmarkStart w:id="129" w:name="_Toc2725_WPSOffice_Level1"/>
      <w:r>
        <w:rPr>
          <w:rFonts w:hint="eastAsia" w:ascii="楷体_GB2312" w:hAnsi="宋体" w:eastAsia="楷体_GB2312"/>
          <w:b/>
          <w:bCs/>
          <w:color w:val="000000"/>
          <w:sz w:val="24"/>
          <w:szCs w:val="24"/>
        </w:rPr>
        <w:t xml:space="preserve">1-2          </w:t>
      </w:r>
      <w:r>
        <w:rPr>
          <w:rFonts w:hint="eastAsia" w:ascii="楷体_GB2312" w:hAnsi="宋体" w:eastAsia="楷体_GB2312"/>
          <w:b/>
          <w:bCs/>
          <w:color w:val="000000"/>
          <w:sz w:val="24"/>
          <w:szCs w:val="24"/>
          <w:lang w:val="en-US" w:eastAsia="zh-CN"/>
        </w:rPr>
        <w:t xml:space="preserve">        </w:t>
      </w:r>
    </w:p>
    <w:p>
      <w:pPr>
        <w:spacing w:line="440" w:lineRule="exact"/>
        <w:ind w:firstLine="1928" w:firstLineChars="600"/>
        <w:rPr>
          <w:rFonts w:eastAsia="方正小标宋简体"/>
          <w:bCs/>
          <w:color w:val="000000"/>
          <w:sz w:val="24"/>
          <w:szCs w:val="24"/>
        </w:rPr>
      </w:pPr>
      <w:r>
        <w:rPr>
          <w:rFonts w:hint="eastAsia" w:ascii="楷体_GB2312" w:hAnsi="宋体" w:eastAsia="楷体_GB2312"/>
          <w:b/>
          <w:bCs/>
          <w:color w:val="000000"/>
          <w:sz w:val="32"/>
          <w:szCs w:val="32"/>
          <w:lang w:val="en-US" w:eastAsia="zh-CN"/>
        </w:rPr>
        <w:t xml:space="preserve"> </w:t>
      </w:r>
      <w:r>
        <w:rPr>
          <w:rFonts w:eastAsia="方正小标宋简体"/>
          <w:bCs/>
          <w:color w:val="000000"/>
          <w:sz w:val="32"/>
          <w:szCs w:val="32"/>
        </w:rPr>
        <w:t>法人</w:t>
      </w:r>
      <w:r>
        <w:rPr>
          <w:rFonts w:hint="eastAsia" w:eastAsia="方正小标宋简体"/>
          <w:bCs/>
          <w:color w:val="000000"/>
          <w:sz w:val="32"/>
          <w:szCs w:val="32"/>
        </w:rPr>
        <w:t>（负责人）</w:t>
      </w:r>
      <w:r>
        <w:rPr>
          <w:rFonts w:eastAsia="方正小标宋简体"/>
          <w:bCs/>
          <w:color w:val="000000"/>
          <w:sz w:val="32"/>
          <w:szCs w:val="32"/>
        </w:rPr>
        <w:t>代表授权书</w:t>
      </w:r>
      <w:bookmarkEnd w:id="127"/>
      <w:bookmarkEnd w:id="128"/>
      <w:bookmarkEnd w:id="129"/>
    </w:p>
    <w:p>
      <w:pPr>
        <w:spacing w:line="440" w:lineRule="exact"/>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lang w:eastAsia="zh-CN"/>
        </w:rPr>
        <w:t>名旺工程咨询（湖北）有限公司</w:t>
      </w:r>
      <w:r>
        <w:rPr>
          <w:rFonts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szCs w:val="24"/>
        </w:rPr>
      </w:pPr>
      <w:r>
        <w:rPr>
          <w:rFonts w:hint="eastAsia" w:ascii="宋体" w:hAnsi="宋体"/>
          <w:bCs/>
          <w:color w:val="000000"/>
          <w:sz w:val="24"/>
          <w:szCs w:val="24"/>
        </w:rPr>
        <w:t>兹授权</w:t>
      </w:r>
      <w:r>
        <w:rPr>
          <w:rFonts w:hint="eastAsia" w:ascii="宋体" w:hAnsi="宋体"/>
          <w:bCs/>
          <w:color w:val="000000"/>
          <w:sz w:val="24"/>
          <w:szCs w:val="24"/>
          <w:u w:val="single"/>
        </w:rPr>
        <w:t xml:space="preserve">       </w:t>
      </w:r>
      <w:r>
        <w:rPr>
          <w:rFonts w:hint="eastAsia" w:ascii="宋体" w:hAnsi="宋体"/>
          <w:bCs/>
          <w:color w:val="000000"/>
          <w:sz w:val="24"/>
          <w:szCs w:val="24"/>
        </w:rPr>
        <w:t>同志为我单位参加贵方组织的项目（项目编号：</w:t>
      </w:r>
      <w:r>
        <w:rPr>
          <w:rFonts w:hint="eastAsia" w:ascii="宋体" w:hAnsi="宋体"/>
          <w:bCs/>
          <w:color w:val="000000"/>
          <w:sz w:val="24"/>
          <w:szCs w:val="24"/>
          <w:u w:val="single"/>
        </w:rPr>
        <w:t xml:space="preserve">          </w:t>
      </w:r>
      <w:r>
        <w:rPr>
          <w:rFonts w:hint="eastAsia" w:ascii="宋体" w:hAnsi="宋体"/>
          <w:bCs/>
          <w:color w:val="000000"/>
          <w:sz w:val="24"/>
          <w:szCs w:val="24"/>
        </w:rPr>
        <w:t>）采购活动的供应商授权代表，全权代表我公司处理在项目采购活动中的一切事宜。代理期限从</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hint="eastAsia" w:ascii="宋体" w:hAnsi="宋体"/>
          <w:bCs/>
          <w:color w:val="000000"/>
          <w:sz w:val="24"/>
          <w:szCs w:val="24"/>
        </w:rPr>
        <w:t>日起至</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000000"/>
          <w:sz w:val="24"/>
          <w:szCs w:val="24"/>
        </w:rPr>
      </w:pP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hint="eastAsia" w:ascii="宋体" w:hAnsi="宋体"/>
          <w:bCs/>
          <w:color w:val="000000"/>
          <w:sz w:val="24"/>
          <w:szCs w:val="24"/>
        </w:rPr>
        <w:t>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szCs w:val="24"/>
        </w:rPr>
      </w:pPr>
      <w:r>
        <w:rPr>
          <w:rFonts w:hint="eastAsia" w:ascii="宋体" w:hAnsi="宋体"/>
          <w:bCs/>
          <w:color w:val="000000"/>
          <w:sz w:val="24"/>
          <w:szCs w:val="24"/>
        </w:rPr>
        <w:t>被授权代表无转委托权。</w:t>
      </w:r>
    </w:p>
    <w:p>
      <w:pPr>
        <w:spacing w:line="440" w:lineRule="exact"/>
        <w:ind w:firstLine="480" w:firstLineChars="200"/>
        <w:rPr>
          <w:rFonts w:hint="eastAsia" w:ascii="宋体" w:hAnsi="宋体"/>
          <w:bCs/>
          <w:color w:val="000000"/>
          <w:sz w:val="24"/>
          <w:szCs w:val="24"/>
        </w:rPr>
      </w:pPr>
    </w:p>
    <w:p>
      <w:pPr>
        <w:spacing w:line="440" w:lineRule="exact"/>
        <w:ind w:firstLine="480" w:firstLineChars="200"/>
        <w:rPr>
          <w:rFonts w:hint="eastAsia" w:ascii="宋体" w:hAnsi="宋体"/>
          <w:bCs/>
          <w:color w:val="000000"/>
          <w:sz w:val="24"/>
          <w:szCs w:val="24"/>
        </w:rPr>
      </w:pP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 xml:space="preserve">                   授 权 单 位（公章）：</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 xml:space="preserve">                   法定代表人（签字或盖章）：</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 xml:space="preserve">                   签 发 日 期： 年 月 日</w:t>
      </w:r>
    </w:p>
    <w:p>
      <w:pPr>
        <w:spacing w:line="440" w:lineRule="exact"/>
        <w:rPr>
          <w:rFonts w:hint="eastAsia" w:ascii="宋体" w:hAnsi="宋体"/>
          <w:bCs/>
          <w:color w:val="000000"/>
          <w:sz w:val="24"/>
          <w:szCs w:val="24"/>
        </w:rPr>
      </w:pPr>
      <w:r>
        <w:rPr>
          <w:rFonts w:hint="eastAsia" w:ascii="宋体" w:hAnsi="宋体"/>
          <w:bCs/>
          <w:color w:val="000000"/>
          <w:sz w:val="24"/>
          <w:szCs w:val="24"/>
        </w:rPr>
        <w:t>附：</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供应商授权代表单位名称：</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职务：         性别：</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身份证号码：</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电话：</w:t>
      </w:r>
    </w:p>
    <w:tbl>
      <w:tblPr>
        <w:tblStyle w:val="14"/>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noWrap w:val="0"/>
            <w:vAlign w:val="top"/>
          </w:tcPr>
          <w:p>
            <w:pPr>
              <w:spacing w:before="156" w:beforeLines="50" w:after="312" w:afterLines="100" w:line="440" w:lineRule="exact"/>
              <w:rPr>
                <w:rFonts w:ascii="宋体" w:hAnsi="宋体"/>
                <w:bCs/>
                <w:color w:val="000000"/>
                <w:sz w:val="24"/>
                <w:szCs w:val="24"/>
              </w:rPr>
            </w:pPr>
            <w:r>
              <w:rPr>
                <w:rFonts w:ascii="宋体" w:hAnsi="宋体"/>
                <w:bCs/>
                <w:color w:val="000000"/>
                <w:sz w:val="24"/>
                <w:szCs w:val="24"/>
              </w:rPr>
              <w:t>粘贴</w:t>
            </w:r>
            <w:r>
              <w:rPr>
                <w:rFonts w:hint="eastAsia" w:ascii="宋体" w:hAnsi="宋体"/>
                <w:bCs/>
                <w:color w:val="000000"/>
                <w:sz w:val="24"/>
                <w:szCs w:val="24"/>
              </w:rPr>
              <w:t>法人及</w:t>
            </w:r>
            <w:r>
              <w:rPr>
                <w:rFonts w:ascii="宋体" w:hAnsi="宋体"/>
                <w:bCs/>
                <w:color w:val="000000"/>
                <w:sz w:val="24"/>
                <w:szCs w:val="24"/>
              </w:rPr>
              <w:t>被授权人身份证（</w:t>
            </w:r>
            <w:r>
              <w:rPr>
                <w:rFonts w:hint="eastAsia" w:ascii="宋体" w:hAnsi="宋体"/>
                <w:bCs/>
                <w:color w:val="000000"/>
                <w:sz w:val="24"/>
                <w:szCs w:val="24"/>
              </w:rPr>
              <w:t>正反面</w:t>
            </w:r>
            <w:r>
              <w:rPr>
                <w:rFonts w:hint="eastAsia" w:ascii="宋体" w:hAnsi="宋体" w:cs="宋体"/>
                <w:bCs/>
                <w:sz w:val="24"/>
                <w:szCs w:val="24"/>
              </w:rPr>
              <w:t>复印件</w:t>
            </w:r>
            <w:r>
              <w:rPr>
                <w:rFonts w:ascii="宋体" w:hAnsi="宋体"/>
                <w:bCs/>
                <w:color w:val="000000"/>
                <w:sz w:val="24"/>
                <w:szCs w:val="24"/>
              </w:rPr>
              <w:t>）</w:t>
            </w:r>
          </w:p>
        </w:tc>
      </w:tr>
    </w:tbl>
    <w:p>
      <w:pPr>
        <w:autoSpaceDE w:val="0"/>
        <w:autoSpaceDN w:val="0"/>
        <w:adjustRightInd w:val="0"/>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lang w:val="en-US" w:eastAsia="zh-CN"/>
        </w:rPr>
      </w:pPr>
      <w:r>
        <w:rPr>
          <w:rFonts w:hint="eastAsia" w:ascii="楷体_GB2312" w:hAnsi="宋体" w:eastAsia="楷体_GB2312"/>
          <w:b/>
          <w:bCs/>
          <w:color w:val="000000"/>
          <w:sz w:val="24"/>
          <w:szCs w:val="24"/>
        </w:rPr>
        <w:t>附件</w:t>
      </w:r>
      <w:r>
        <w:rPr>
          <w:rFonts w:hint="eastAsia" w:ascii="楷体_GB2312" w:hAnsi="宋体" w:eastAsia="楷体_GB2312"/>
          <w:b/>
          <w:bCs/>
          <w:color w:val="000000"/>
          <w:sz w:val="24"/>
          <w:szCs w:val="24"/>
          <w:lang w:val="en-US" w:eastAsia="zh-CN"/>
        </w:rPr>
        <w:t>五</w:t>
      </w:r>
    </w:p>
    <w:p>
      <w:pPr>
        <w:pStyle w:val="21"/>
        <w:rPr>
          <w:rFonts w:hint="eastAsia" w:ascii="楷体_GB2312" w:hAnsi="宋体" w:eastAsia="楷体_GB2312"/>
          <w:b/>
          <w:bCs/>
          <w:color w:val="000000"/>
          <w:sz w:val="24"/>
          <w:szCs w:val="24"/>
          <w:lang w:val="en-US" w:eastAsia="zh-CN"/>
        </w:rPr>
      </w:pPr>
    </w:p>
    <w:p>
      <w:pPr>
        <w:tabs>
          <w:tab w:val="left" w:pos="7665"/>
        </w:tabs>
        <w:spacing w:line="440" w:lineRule="exact"/>
        <w:jc w:val="center"/>
        <w:outlineLvl w:val="1"/>
        <w:rPr>
          <w:rFonts w:hint="default" w:ascii="宋体" w:hAnsi="宋体" w:eastAsia="方正小标宋简体"/>
          <w:bCs/>
          <w:color w:val="000000"/>
          <w:sz w:val="24"/>
          <w:szCs w:val="24"/>
          <w:lang w:val="en-US" w:eastAsia="zh-CN"/>
        </w:rPr>
      </w:pPr>
      <w:r>
        <w:rPr>
          <w:rFonts w:hint="eastAsia" w:ascii="宋体" w:hAnsi="宋体" w:eastAsia="方正小标宋简体"/>
          <w:bCs/>
          <w:color w:val="000000"/>
          <w:sz w:val="32"/>
          <w:szCs w:val="32"/>
          <w:lang w:val="en-US" w:eastAsia="zh-CN"/>
        </w:rPr>
        <w:t>法人或者其他组织的营业执照等证明文件，自然人的身份证明</w:t>
      </w: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p>
    <w:p>
      <w:pPr>
        <w:spacing w:line="440" w:lineRule="exact"/>
        <w:rPr>
          <w:rFonts w:hint="eastAsia" w:ascii="楷体_GB2312" w:hAnsi="宋体" w:eastAsia="楷体_GB2312"/>
          <w:b/>
          <w:bCs/>
          <w:color w:val="000000"/>
          <w:sz w:val="24"/>
          <w:szCs w:val="24"/>
        </w:rPr>
      </w:pPr>
      <w:r>
        <w:rPr>
          <w:rFonts w:hint="eastAsia" w:ascii="楷体_GB2312" w:hAnsi="宋体" w:eastAsia="楷体_GB2312"/>
          <w:b/>
          <w:bCs/>
          <w:color w:val="000000"/>
          <w:sz w:val="24"/>
          <w:szCs w:val="24"/>
        </w:rPr>
        <w:t xml:space="preserve"> </w:t>
      </w:r>
    </w:p>
    <w:p>
      <w:pPr>
        <w:spacing w:line="440" w:lineRule="exact"/>
        <w:rPr>
          <w:rFonts w:hint="eastAsia" w:ascii="楷体_GB2312" w:hAnsi="宋体" w:eastAsia="楷体_GB2312"/>
          <w:b/>
          <w:bCs/>
          <w:color w:val="000000"/>
          <w:sz w:val="24"/>
          <w:szCs w:val="24"/>
        </w:rPr>
      </w:pPr>
    </w:p>
    <w:p>
      <w:pPr>
        <w:rPr>
          <w:rFonts w:hint="eastAsia" w:ascii="楷体_GB2312" w:hAnsi="宋体" w:eastAsia="楷体_GB2312"/>
          <w:b/>
          <w:bCs/>
          <w:color w:val="000000"/>
          <w:sz w:val="24"/>
          <w:szCs w:val="24"/>
        </w:rPr>
      </w:pPr>
      <w:r>
        <w:rPr>
          <w:rFonts w:hint="eastAsia" w:ascii="楷体_GB2312" w:hAnsi="宋体" w:eastAsia="楷体_GB2312"/>
          <w:b/>
          <w:bCs/>
          <w:color w:val="000000"/>
          <w:sz w:val="24"/>
          <w:szCs w:val="24"/>
        </w:rPr>
        <w:br w:type="page"/>
      </w:r>
    </w:p>
    <w:p>
      <w:pPr>
        <w:spacing w:line="440" w:lineRule="exact"/>
        <w:rPr>
          <w:rFonts w:hint="eastAsia" w:ascii="宋体" w:hAnsi="宋体" w:eastAsia="楷体_GB2312"/>
          <w:bCs/>
          <w:color w:val="000000"/>
          <w:sz w:val="24"/>
          <w:szCs w:val="24"/>
          <w:lang w:val="en-US" w:eastAsia="zh-CN"/>
        </w:rPr>
      </w:pPr>
      <w:r>
        <w:rPr>
          <w:rFonts w:hint="eastAsia" w:ascii="楷体_GB2312" w:hAnsi="宋体" w:eastAsia="楷体_GB2312"/>
          <w:b/>
          <w:bCs/>
          <w:color w:val="000000"/>
          <w:sz w:val="24"/>
          <w:szCs w:val="24"/>
        </w:rPr>
        <w:t>附件</w:t>
      </w:r>
      <w:r>
        <w:rPr>
          <w:rFonts w:hint="eastAsia" w:ascii="楷体_GB2312" w:hAnsi="宋体" w:eastAsia="楷体_GB2312"/>
          <w:b/>
          <w:bCs/>
          <w:color w:val="000000"/>
          <w:sz w:val="24"/>
          <w:szCs w:val="24"/>
          <w:lang w:val="en-US" w:eastAsia="zh-CN"/>
        </w:rPr>
        <w:t>六</w:t>
      </w:r>
    </w:p>
    <w:p>
      <w:pPr>
        <w:tabs>
          <w:tab w:val="left" w:pos="7665"/>
        </w:tabs>
        <w:spacing w:line="440" w:lineRule="exact"/>
        <w:jc w:val="center"/>
        <w:outlineLvl w:val="1"/>
        <w:rPr>
          <w:rFonts w:hint="eastAsia" w:ascii="宋体" w:hAnsi="宋体" w:eastAsia="方正小标宋简体"/>
          <w:bCs/>
          <w:color w:val="000000"/>
          <w:sz w:val="24"/>
          <w:szCs w:val="24"/>
        </w:rPr>
      </w:pPr>
    </w:p>
    <w:p>
      <w:pPr>
        <w:pStyle w:val="4"/>
        <w:adjustRightInd w:val="0"/>
        <w:snapToGrid w:val="0"/>
        <w:spacing w:line="440" w:lineRule="exact"/>
        <w:jc w:val="center"/>
        <w:rPr>
          <w:rFonts w:hint="eastAsia" w:ascii="宋体" w:hAnsi="宋体" w:eastAsia="宋体" w:cs="宋体"/>
          <w:b/>
          <w:bCs w:val="0"/>
          <w:color w:val="000000"/>
          <w:kern w:val="2"/>
          <w:sz w:val="32"/>
          <w:szCs w:val="32"/>
          <w:lang w:val="en-US" w:eastAsia="zh-CN" w:bidi="ar-SA"/>
        </w:rPr>
      </w:pPr>
      <w:bookmarkStart w:id="130" w:name="_Toc27527_WPSOffice_Level2"/>
      <w:r>
        <w:rPr>
          <w:rFonts w:hint="eastAsia" w:ascii="宋体" w:hAnsi="宋体" w:eastAsia="宋体" w:cs="宋体"/>
          <w:b/>
          <w:bCs w:val="0"/>
          <w:color w:val="000000"/>
          <w:kern w:val="2"/>
          <w:sz w:val="32"/>
          <w:szCs w:val="32"/>
          <w:lang w:val="en-US" w:eastAsia="zh-CN" w:bidi="ar-SA"/>
        </w:rPr>
        <w:t>参加政府采购活动前3年内在经营活动中</w:t>
      </w:r>
      <w:bookmarkEnd w:id="130"/>
    </w:p>
    <w:p>
      <w:pPr>
        <w:pStyle w:val="4"/>
        <w:adjustRightInd w:val="0"/>
        <w:snapToGrid w:val="0"/>
        <w:spacing w:line="440" w:lineRule="exact"/>
        <w:jc w:val="center"/>
        <w:rPr>
          <w:rFonts w:hint="eastAsia" w:ascii="宋体" w:hAnsi="宋体" w:eastAsia="宋体" w:cs="宋体"/>
          <w:b/>
          <w:bCs w:val="0"/>
          <w:color w:val="000000"/>
          <w:kern w:val="2"/>
          <w:sz w:val="32"/>
          <w:szCs w:val="32"/>
          <w:lang w:val="en-US" w:eastAsia="zh-CN" w:bidi="ar-SA"/>
        </w:rPr>
      </w:pPr>
      <w:bookmarkStart w:id="131" w:name="_Toc14043_WPSOffice_Level2"/>
      <w:r>
        <w:rPr>
          <w:rFonts w:hint="eastAsia" w:ascii="宋体" w:hAnsi="宋体" w:eastAsia="宋体" w:cs="宋体"/>
          <w:b/>
          <w:bCs w:val="0"/>
          <w:color w:val="000000"/>
          <w:kern w:val="2"/>
          <w:sz w:val="32"/>
          <w:szCs w:val="32"/>
          <w:lang w:val="en-US" w:eastAsia="zh-CN" w:bidi="ar-SA"/>
        </w:rPr>
        <w:t>没有重大违法记录的书面声明</w:t>
      </w:r>
      <w:bookmarkEnd w:id="131"/>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single"/>
          <w:lang w:val="en-US" w:eastAsia="zh-CN" w:bidi="ar"/>
        </w:rPr>
        <w:t>（采购人或采购代理机构名称）</w:t>
      </w:r>
      <w:r>
        <w:rPr>
          <w:rFonts w:hint="eastAsia" w:ascii="宋体" w:hAnsi="宋体" w:eastAsia="宋体" w:cs="宋体"/>
          <w:color w:val="00000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56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我方在此声明，我方在参加本次政府采购活动前三年内，在经营活动中没有以下重大违法记录： </w:t>
      </w:r>
    </w:p>
    <w:p>
      <w:pPr>
        <w:keepNext w:val="0"/>
        <w:keepLines w:val="0"/>
        <w:pageBreakBefore w:val="0"/>
        <w:widowControl/>
        <w:numPr>
          <w:ilvl w:val="0"/>
          <w:numId w:val="5"/>
        </w:numPr>
        <w:suppressLineNumbers w:val="0"/>
        <w:kinsoku/>
        <w:wordWrap/>
        <w:overflowPunct/>
        <w:topLinePunct w:val="0"/>
        <w:autoSpaceDE/>
        <w:autoSpaceDN/>
        <w:bidi w:val="0"/>
        <w:spacing w:line="360" w:lineRule="auto"/>
        <w:ind w:firstLine="56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我方因违法经营被追究过刑事责任； </w:t>
      </w:r>
    </w:p>
    <w:p>
      <w:pPr>
        <w:keepNext w:val="0"/>
        <w:keepLines w:val="0"/>
        <w:pageBreakBefore w:val="0"/>
        <w:widowControl/>
        <w:numPr>
          <w:ilvl w:val="0"/>
          <w:numId w:val="5"/>
        </w:numPr>
        <w:suppressLineNumbers w:val="0"/>
        <w:kinsoku/>
        <w:wordWrap/>
        <w:overflowPunct/>
        <w:topLinePunct w:val="0"/>
        <w:autoSpaceDE/>
        <w:autoSpaceDN/>
        <w:bidi w:val="0"/>
        <w:spacing w:line="360" w:lineRule="auto"/>
        <w:ind w:firstLine="560"/>
        <w:jc w:val="left"/>
        <w:textAlignment w:val="auto"/>
        <w:rPr>
          <w:sz w:val="24"/>
          <w:szCs w:val="24"/>
        </w:rPr>
      </w:pPr>
      <w:r>
        <w:rPr>
          <w:rFonts w:hint="eastAsia" w:ascii="宋体" w:hAnsi="宋体" w:eastAsia="宋体" w:cs="宋体"/>
          <w:color w:val="000000"/>
          <w:kern w:val="0"/>
          <w:sz w:val="24"/>
          <w:szCs w:val="24"/>
          <w:lang w:val="en-US" w:eastAsia="zh-CN" w:bidi="ar"/>
        </w:rPr>
        <w:t xml:space="preserve">我方因违法经营被责令停产停业、吊销许可证或者执照； </w:t>
      </w:r>
    </w:p>
    <w:p>
      <w:pPr>
        <w:keepNext w:val="0"/>
        <w:keepLines w:val="0"/>
        <w:pageBreakBefore w:val="0"/>
        <w:widowControl/>
        <w:numPr>
          <w:ilvl w:val="0"/>
          <w:numId w:val="5"/>
        </w:numPr>
        <w:suppressLineNumbers w:val="0"/>
        <w:kinsoku/>
        <w:wordWrap/>
        <w:overflowPunct/>
        <w:topLinePunct w:val="0"/>
        <w:autoSpaceDE/>
        <w:autoSpaceDN/>
        <w:bidi w:val="0"/>
        <w:spacing w:line="360" w:lineRule="auto"/>
        <w:ind w:firstLine="560"/>
        <w:jc w:val="left"/>
        <w:textAlignment w:val="auto"/>
        <w:rPr>
          <w:sz w:val="24"/>
          <w:szCs w:val="24"/>
        </w:rPr>
      </w:pPr>
      <w:r>
        <w:rPr>
          <w:rFonts w:hint="eastAsia" w:ascii="宋体" w:hAnsi="宋体" w:eastAsia="宋体" w:cs="宋体"/>
          <w:color w:val="000000"/>
          <w:kern w:val="0"/>
          <w:sz w:val="24"/>
          <w:szCs w:val="24"/>
          <w:lang w:val="en-US" w:eastAsia="zh-CN" w:bidi="ar"/>
        </w:rPr>
        <w:t xml:space="preserve">我方因违法经营被处以较大数额罚款等行政处罚。 </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我方保证上述信息的完整、客观、真实、准确，并愿意承担我方因提供虚假材料谋骗取中标、成交所引起的一切法律后果。 </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特此声明！ </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val="0"/>
        <w:snapToGrid w:val="0"/>
        <w:spacing w:line="360" w:lineRule="auto"/>
        <w:ind w:firstLine="309"/>
        <w:textAlignment w:val="auto"/>
        <w:rPr>
          <w:rFonts w:hint="eastAsia" w:ascii="宋体" w:hAnsi="宋体"/>
          <w:color w:val="000000"/>
          <w:sz w:val="24"/>
          <w:szCs w:val="24"/>
        </w:rPr>
      </w:pPr>
      <w:r>
        <w:rPr>
          <w:rFonts w:hint="eastAsia" w:ascii="宋体" w:hAnsi="宋体"/>
          <w:color w:val="000000"/>
          <w:sz w:val="24"/>
          <w:szCs w:val="24"/>
        </w:rPr>
        <w:t>供应商全称（加盖公章）：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color w:val="000000"/>
          <w:sz w:val="24"/>
          <w:szCs w:val="24"/>
        </w:rPr>
      </w:pPr>
      <w:r>
        <w:rPr>
          <w:rFonts w:hint="eastAsia" w:ascii="宋体" w:hAnsi="宋体"/>
          <w:color w:val="000000"/>
          <w:sz w:val="24"/>
          <w:szCs w:val="24"/>
        </w:rPr>
        <w:t>法定代表人或授权代表签字：</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0"/>
        <w:keepNext w:val="0"/>
        <w:keepLines w:val="0"/>
        <w:pageBreakBefore w:val="0"/>
        <w:kinsoku/>
        <w:wordWrap/>
        <w:overflowPunct/>
        <w:topLinePunct w:val="0"/>
        <w:autoSpaceDE/>
        <w:autoSpaceDN/>
        <w:bidi w:val="0"/>
        <w:spacing w:line="360" w:lineRule="auto"/>
        <w:ind w:firstLine="240" w:firstLineChars="100"/>
        <w:textAlignment w:val="auto"/>
        <w:rPr>
          <w:rFonts w:hint="eastAsia" w:ascii="楷体_GB2312" w:hAnsi="宋体" w:eastAsia="楷体_GB2312"/>
          <w:b/>
          <w:bCs/>
          <w:color w:val="000000"/>
          <w:sz w:val="24"/>
          <w:szCs w:val="24"/>
        </w:rPr>
      </w:pPr>
      <w:r>
        <w:rPr>
          <w:rFonts w:hint="eastAsia" w:hAnsi="宋体"/>
          <w:color w:val="000000"/>
          <w:sz w:val="24"/>
          <w:szCs w:val="24"/>
        </w:rPr>
        <w:t xml:space="preserve">日    期： </w:t>
      </w:r>
      <w:r>
        <w:rPr>
          <w:rFonts w:hint="eastAsia" w:hAnsi="宋体"/>
          <w:color w:val="000000"/>
          <w:sz w:val="24"/>
          <w:szCs w:val="24"/>
          <w:u w:val="single"/>
        </w:rPr>
        <w:t xml:space="preserve">                       </w:t>
      </w:r>
    </w:p>
    <w:p>
      <w:pPr>
        <w:spacing w:line="440" w:lineRule="exact"/>
        <w:jc w:val="center"/>
        <w:rPr>
          <w:sz w:val="24"/>
          <w:szCs w:val="24"/>
        </w:rPr>
      </w:pPr>
    </w:p>
    <w:p>
      <w:pPr>
        <w:spacing w:line="440" w:lineRule="exact"/>
        <w:jc w:val="center"/>
        <w:rPr>
          <w:rFonts w:ascii="宋体" w:hAnsi="宋体"/>
          <w:sz w:val="24"/>
          <w:szCs w:val="24"/>
        </w:rPr>
      </w:pPr>
    </w:p>
    <w:p>
      <w:pPr>
        <w:autoSpaceDE w:val="0"/>
        <w:autoSpaceDN w:val="0"/>
        <w:adjustRightInd w:val="0"/>
        <w:spacing w:line="440" w:lineRule="exact"/>
        <w:rPr>
          <w:rFonts w:hint="eastAsia" w:ascii="楷体_GB2312" w:hAnsi="宋体" w:eastAsia="楷体_GB2312"/>
          <w:b/>
          <w:bCs/>
          <w:color w:val="000000"/>
          <w:sz w:val="24"/>
          <w:szCs w:val="24"/>
          <w:lang w:val="en-US" w:eastAsia="zh-CN"/>
        </w:rPr>
      </w:pPr>
      <w:r>
        <w:rPr>
          <w:rFonts w:ascii="宋体" w:hAnsi="宋体" w:cs="宋体"/>
          <w:b/>
          <w:color w:val="000000"/>
          <w:sz w:val="24"/>
          <w:szCs w:val="24"/>
          <w:lang w:val="zh-CN"/>
        </w:rPr>
        <w:br w:type="page"/>
      </w:r>
      <w:r>
        <w:rPr>
          <w:rFonts w:hint="eastAsia" w:ascii="楷体_GB2312" w:hAnsi="宋体" w:eastAsia="楷体_GB2312"/>
          <w:b/>
          <w:bCs/>
          <w:color w:val="000000"/>
          <w:sz w:val="24"/>
          <w:szCs w:val="24"/>
        </w:rPr>
        <w:t>附件</w:t>
      </w:r>
      <w:r>
        <w:rPr>
          <w:rFonts w:hint="eastAsia" w:ascii="楷体_GB2312" w:hAnsi="宋体" w:eastAsia="楷体_GB2312"/>
          <w:b/>
          <w:bCs/>
          <w:color w:val="000000"/>
          <w:sz w:val="24"/>
          <w:szCs w:val="24"/>
          <w:lang w:val="en-US" w:eastAsia="zh-CN"/>
        </w:rPr>
        <w:t>七</w:t>
      </w:r>
    </w:p>
    <w:p>
      <w:pPr>
        <w:tabs>
          <w:tab w:val="left" w:pos="7665"/>
        </w:tabs>
        <w:spacing w:line="440" w:lineRule="exact"/>
        <w:jc w:val="center"/>
        <w:outlineLvl w:val="1"/>
        <w:rPr>
          <w:rFonts w:hint="eastAsia" w:ascii="宋体" w:hAnsi="宋体" w:cs="宋体"/>
          <w:bCs/>
          <w:color w:val="000000"/>
          <w:sz w:val="24"/>
          <w:szCs w:val="24"/>
        </w:rPr>
      </w:pPr>
    </w:p>
    <w:p>
      <w:pPr>
        <w:tabs>
          <w:tab w:val="left" w:pos="7665"/>
        </w:tabs>
        <w:spacing w:line="440" w:lineRule="exact"/>
        <w:jc w:val="center"/>
        <w:outlineLvl w:val="1"/>
        <w:rPr>
          <w:rFonts w:hint="eastAsia" w:ascii="宋体" w:hAnsi="宋体" w:cs="宋体"/>
          <w:b/>
          <w:color w:val="000000"/>
          <w:sz w:val="32"/>
          <w:szCs w:val="32"/>
        </w:rPr>
      </w:pPr>
      <w:r>
        <w:rPr>
          <w:rFonts w:hint="eastAsia" w:ascii="宋体" w:hAnsi="宋体" w:cs="宋体"/>
          <w:b/>
          <w:color w:val="000000"/>
          <w:sz w:val="32"/>
          <w:szCs w:val="32"/>
        </w:rPr>
        <w:t>未被列入“信用中国”网站、“中国政府采购网”失信被执行人、重大税收违法案件当事人名单、政府采购严重违法失信行为记录名单的网页打印件</w:t>
      </w:r>
    </w:p>
    <w:p>
      <w:pPr>
        <w:autoSpaceDE w:val="0"/>
        <w:autoSpaceDN w:val="0"/>
        <w:adjustRightInd w:val="0"/>
        <w:spacing w:line="440" w:lineRule="exact"/>
        <w:jc w:val="center"/>
        <w:rPr>
          <w:rFonts w:ascii="宋体" w:hAnsi="宋体"/>
          <w:b/>
          <w:sz w:val="32"/>
          <w:szCs w:val="32"/>
        </w:rPr>
      </w:pPr>
      <w:r>
        <w:rPr>
          <w:rFonts w:hint="eastAsia" w:ascii="宋体" w:hAnsi="宋体"/>
          <w:b/>
          <w:sz w:val="32"/>
          <w:szCs w:val="32"/>
        </w:rPr>
        <w:t>（供应商自行打印）</w:t>
      </w: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13"/>
        <w:spacing w:before="0" w:beforeAutospacing="0" w:after="210" w:afterAutospacing="0" w:line="315" w:lineRule="atLeast"/>
        <w:jc w:val="both"/>
        <w:rPr>
          <w:rFonts w:hint="eastAsia"/>
          <w:b/>
          <w:color w:val="000000"/>
          <w:kern w:val="2"/>
          <w:sz w:val="24"/>
          <w:szCs w:val="24"/>
        </w:rPr>
      </w:pPr>
    </w:p>
    <w:p>
      <w:pPr>
        <w:pStyle w:val="2"/>
        <w:jc w:val="center"/>
        <w:rPr>
          <w:rFonts w:hint="eastAsia" w:ascii="楷体_GB2312" w:hAnsi="宋体" w:eastAsia="楷体_GB2312"/>
          <w:b/>
          <w:bCs/>
          <w:sz w:val="24"/>
          <w:szCs w:val="24"/>
          <w:highlight w:val="none"/>
        </w:rPr>
      </w:pPr>
      <w:r>
        <w:rPr>
          <w:rFonts w:hint="eastAsia" w:ascii="楷体_GB2312" w:hAnsi="宋体" w:eastAsia="楷体_GB2312"/>
          <w:b/>
          <w:bCs/>
          <w:sz w:val="24"/>
          <w:szCs w:val="24"/>
          <w:highlight w:val="none"/>
        </w:rPr>
        <w:br w:type="page"/>
      </w:r>
    </w:p>
    <w:p>
      <w:pPr>
        <w:spacing w:line="440" w:lineRule="exact"/>
        <w:rPr>
          <w:rFonts w:hint="eastAsia" w:ascii="楷体_GB2312" w:hAnsi="宋体" w:eastAsia="楷体_GB2312"/>
          <w:bCs/>
          <w:color w:val="000000"/>
          <w:sz w:val="24"/>
          <w:szCs w:val="24"/>
          <w:highlight w:val="none"/>
          <w:lang w:val="en-US" w:eastAsia="zh-CN"/>
        </w:rPr>
      </w:pPr>
      <w:r>
        <w:rPr>
          <w:rFonts w:hint="eastAsia" w:ascii="楷体_GB2312" w:hAnsi="宋体" w:eastAsia="楷体_GB2312"/>
          <w:b/>
          <w:bCs/>
          <w:sz w:val="24"/>
          <w:szCs w:val="24"/>
          <w:highlight w:val="none"/>
        </w:rPr>
        <w:t>附件</w:t>
      </w:r>
      <w:r>
        <w:rPr>
          <w:rFonts w:hint="eastAsia" w:ascii="楷体_GB2312" w:hAnsi="宋体" w:eastAsia="楷体_GB2312"/>
          <w:b/>
          <w:bCs/>
          <w:sz w:val="24"/>
          <w:szCs w:val="24"/>
          <w:highlight w:val="none"/>
          <w:lang w:val="en-US" w:eastAsia="zh-CN"/>
        </w:rPr>
        <w:t>八</w:t>
      </w:r>
    </w:p>
    <w:p>
      <w:pPr>
        <w:pStyle w:val="2"/>
        <w:ind w:firstLine="2168" w:firstLineChars="900"/>
        <w:jc w:val="both"/>
        <w:rPr>
          <w:rFonts w:hint="eastAsia" w:ascii="楷体_GB2312" w:hAnsi="宋体" w:eastAsia="楷体_GB2312"/>
          <w:b/>
          <w:bCs/>
          <w:sz w:val="24"/>
          <w:szCs w:val="24"/>
          <w:highlight w:val="none"/>
        </w:rPr>
      </w:pPr>
    </w:p>
    <w:p>
      <w:pPr>
        <w:pStyle w:val="2"/>
        <w:ind w:firstLine="2891" w:firstLineChars="900"/>
        <w:jc w:val="both"/>
        <w:rPr>
          <w:rFonts w:hint="eastAsia" w:ascii="宋体" w:hAnsi="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t>资格条件承诺函</w:t>
      </w:r>
    </w:p>
    <w:p>
      <w:pPr>
        <w:pStyle w:val="3"/>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0"/>
        <w:spacing w:line="440" w:lineRule="exact"/>
        <w:rPr>
          <w:rFonts w:hint="eastAsia" w:ascii="宋体" w:hAnsi="宋体" w:eastAsia="宋体" w:cs="宋体"/>
          <w:color w:val="000000"/>
          <w:sz w:val="24"/>
          <w:szCs w:val="24"/>
          <w:highlight w:val="none"/>
        </w:rPr>
      </w:pPr>
    </w:p>
    <w:p>
      <w:pPr>
        <w:pStyle w:val="10"/>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0"/>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
          <w:bCs/>
          <w:sz w:val="24"/>
          <w:szCs w:val="24"/>
          <w:highlight w:val="none"/>
        </w:rPr>
      </w:pPr>
    </w:p>
    <w:p>
      <w:pPr>
        <w:spacing w:line="440" w:lineRule="exact"/>
        <w:rPr>
          <w:rFonts w:hint="eastAsia" w:ascii="楷体_GB2312" w:hAnsi="宋体" w:eastAsia="楷体_GB2312"/>
          <w:b/>
          <w:bCs/>
          <w:sz w:val="24"/>
          <w:szCs w:val="24"/>
          <w:highlight w:val="none"/>
        </w:rPr>
      </w:pPr>
    </w:p>
    <w:p>
      <w:pPr>
        <w:spacing w:line="440" w:lineRule="exact"/>
        <w:rPr>
          <w:rFonts w:hint="eastAsia" w:ascii="楷体_GB2312" w:hAnsi="宋体" w:eastAsia="楷体_GB2312"/>
          <w:b/>
          <w:bCs/>
          <w:sz w:val="24"/>
          <w:szCs w:val="24"/>
          <w:highlight w:val="none"/>
        </w:rPr>
      </w:pPr>
    </w:p>
    <w:p>
      <w:pPr>
        <w:spacing w:line="440" w:lineRule="exact"/>
        <w:rPr>
          <w:rFonts w:hint="eastAsia" w:ascii="楷体_GB2312" w:hAnsi="宋体" w:eastAsia="楷体_GB2312"/>
          <w:b/>
          <w:bCs/>
          <w:sz w:val="24"/>
          <w:szCs w:val="24"/>
          <w:highlight w:val="none"/>
        </w:rPr>
      </w:pPr>
    </w:p>
    <w:p>
      <w:pPr>
        <w:spacing w:line="440" w:lineRule="exact"/>
        <w:rPr>
          <w:rFonts w:hint="eastAsia" w:ascii="楷体_GB2312" w:hAnsi="宋体" w:eastAsia="楷体_GB2312"/>
          <w:b/>
          <w:bCs/>
          <w:sz w:val="24"/>
          <w:szCs w:val="24"/>
          <w:highlight w:val="none"/>
        </w:rPr>
      </w:pPr>
    </w:p>
    <w:p>
      <w:pPr>
        <w:spacing w:line="440" w:lineRule="exact"/>
        <w:rPr>
          <w:rFonts w:hint="eastAsia" w:ascii="楷体_GB2312" w:hAnsi="宋体" w:eastAsia="楷体_GB2312"/>
          <w:bCs/>
          <w:color w:val="000000"/>
          <w:sz w:val="24"/>
          <w:szCs w:val="24"/>
          <w:highlight w:val="none"/>
          <w:lang w:val="en-US" w:eastAsia="zh-CN"/>
        </w:rPr>
      </w:pPr>
      <w:r>
        <w:rPr>
          <w:rFonts w:hint="eastAsia" w:ascii="楷体_GB2312" w:hAnsi="宋体" w:eastAsia="楷体_GB2312"/>
          <w:b/>
          <w:bCs/>
          <w:sz w:val="24"/>
          <w:szCs w:val="24"/>
          <w:highlight w:val="none"/>
        </w:rPr>
        <w:t>附件</w:t>
      </w:r>
      <w:r>
        <w:rPr>
          <w:rFonts w:hint="eastAsia" w:ascii="楷体_GB2312" w:hAnsi="宋体" w:eastAsia="楷体_GB2312"/>
          <w:b/>
          <w:bCs/>
          <w:sz w:val="24"/>
          <w:szCs w:val="24"/>
          <w:highlight w:val="none"/>
          <w:lang w:eastAsia="zh-CN"/>
        </w:rPr>
        <w:t>九</w:t>
      </w:r>
      <w:bookmarkStart w:id="133" w:name="_GoBack"/>
      <w:bookmarkEnd w:id="133"/>
    </w:p>
    <w:p>
      <w:pPr>
        <w:tabs>
          <w:tab w:val="left" w:pos="7665"/>
        </w:tabs>
        <w:spacing w:line="440" w:lineRule="exact"/>
        <w:jc w:val="center"/>
        <w:outlineLvl w:val="1"/>
        <w:rPr>
          <w:rFonts w:ascii="宋体" w:hAnsi="宋体" w:eastAsia="方正小标宋简体"/>
          <w:bCs/>
          <w:color w:val="000000"/>
          <w:sz w:val="24"/>
          <w:szCs w:val="24"/>
          <w:highlight w:val="none"/>
        </w:rPr>
      </w:pPr>
    </w:p>
    <w:p>
      <w:pPr>
        <w:keepNext w:val="0"/>
        <w:keepLines w:val="0"/>
        <w:widowControl/>
        <w:suppressLineNumbers w:val="0"/>
        <w:jc w:val="center"/>
      </w:pPr>
      <w:bookmarkStart w:id="132" w:name="_Toc22384_WPSOffice_Level1"/>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服务</w:t>
      </w:r>
      <w:r>
        <w:rPr>
          <w:rFonts w:hint="eastAsia" w:ascii="宋体" w:hAnsi="宋体" w:eastAsia="宋体" w:cs="宋体"/>
          <w:b/>
          <w:bCs/>
          <w:color w:val="000000"/>
          <w:kern w:val="0"/>
          <w:sz w:val="28"/>
          <w:szCs w:val="28"/>
          <w:lang w:val="en-US" w:eastAsia="zh-CN" w:bidi="ar"/>
        </w:rPr>
        <w:t>）</w:t>
      </w:r>
    </w:p>
    <w:p/>
    <w:p/>
    <w:p>
      <w:pPr>
        <w:spacing w:line="360" w:lineRule="auto"/>
        <w:ind w:firstLine="420" w:firstLineChars="200"/>
        <w:rPr>
          <w:rFonts w:ascii="宋体" w:hAnsi="宋体"/>
          <w:szCs w:val="22"/>
          <w:highlight w:val="none"/>
        </w:rPr>
      </w:pPr>
      <w:r>
        <w:rPr>
          <w:rFonts w:ascii="宋体" w:hAnsi="宋体"/>
          <w:szCs w:val="22"/>
          <w:highlight w:val="none"/>
        </w:rPr>
        <w:t>本公司（联合体）郑重声明，根据《政府采购促进中小企业发展管理办法》（财库</w:t>
      </w:r>
      <w:r>
        <w:rPr>
          <w:rFonts w:hint="eastAsia" w:ascii="宋体" w:hAnsi="宋体"/>
          <w:szCs w:val="22"/>
          <w:highlight w:val="none"/>
        </w:rPr>
        <w:t>﹝</w:t>
      </w:r>
      <w:r>
        <w:rPr>
          <w:rFonts w:ascii="宋体" w:hAnsi="宋体"/>
          <w:szCs w:val="22"/>
          <w:highlight w:val="none"/>
        </w:rPr>
        <w:t>2020</w:t>
      </w:r>
      <w:r>
        <w:rPr>
          <w:rFonts w:hint="eastAsia" w:ascii="宋体" w:hAnsi="宋体"/>
          <w:szCs w:val="22"/>
          <w:highlight w:val="none"/>
        </w:rPr>
        <w:t>﹞</w:t>
      </w:r>
      <w:r>
        <w:rPr>
          <w:rFonts w:ascii="宋体" w:hAnsi="宋体"/>
          <w:szCs w:val="22"/>
          <w:highlight w:val="none"/>
        </w:rPr>
        <w:t>46 号）的规定，本公司（联合体）参加</w:t>
      </w:r>
      <w:r>
        <w:rPr>
          <w:rFonts w:ascii="宋体" w:hAnsi="宋体"/>
          <w:szCs w:val="22"/>
          <w:highlight w:val="none"/>
          <w:u w:val="single"/>
        </w:rPr>
        <w:t>（单位名称）</w:t>
      </w:r>
      <w:r>
        <w:rPr>
          <w:rFonts w:ascii="宋体" w:hAnsi="宋体"/>
          <w:szCs w:val="22"/>
          <w:highlight w:val="none"/>
        </w:rPr>
        <w:t>的</w:t>
      </w:r>
      <w:r>
        <w:rPr>
          <w:rFonts w:ascii="宋体" w:hAnsi="宋体"/>
          <w:szCs w:val="22"/>
          <w:highlight w:val="none"/>
          <w:u w:val="single"/>
        </w:rPr>
        <w:t>（项目名称）</w:t>
      </w:r>
      <w:r>
        <w:rPr>
          <w:rFonts w:ascii="宋体" w:hAnsi="宋体"/>
          <w:szCs w:val="22"/>
          <w:highlight w:val="none"/>
        </w:rPr>
        <w:t>采购活动，</w:t>
      </w:r>
      <w:r>
        <w:rPr>
          <w:rFonts w:hint="eastAsia" w:ascii="宋体" w:hAnsi="宋体"/>
          <w:szCs w:val="22"/>
          <w:highlight w:val="none"/>
          <w:lang w:val="en-US" w:eastAsia="zh-CN"/>
        </w:rPr>
        <w:t>服务全部由符合政策要求的中小企业承接</w:t>
      </w:r>
      <w:r>
        <w:rPr>
          <w:rFonts w:ascii="宋体" w:hAnsi="宋体"/>
          <w:szCs w:val="22"/>
          <w:highlight w:val="none"/>
        </w:rPr>
        <w:t>。相关企业（含联合体中的中小企业、签订分包意向协议的中小企业）的具体情况如下：</w:t>
      </w:r>
    </w:p>
    <w:p>
      <w:pPr>
        <w:spacing w:line="360" w:lineRule="auto"/>
        <w:ind w:firstLine="420" w:firstLineChars="200"/>
        <w:rPr>
          <w:rFonts w:ascii="宋体" w:hAnsi="宋体"/>
          <w:szCs w:val="22"/>
          <w:highlight w:val="none"/>
        </w:rPr>
      </w:pPr>
      <w:r>
        <w:rPr>
          <w:rFonts w:ascii="宋体" w:hAnsi="宋体"/>
          <w:szCs w:val="22"/>
          <w:highlight w:val="none"/>
        </w:rPr>
        <w:t xml:space="preserve"> </w:t>
      </w:r>
      <w:r>
        <w:rPr>
          <w:rFonts w:hint="eastAsia" w:ascii="宋体" w:hAnsi="宋体"/>
          <w:szCs w:val="22"/>
          <w:highlight w:val="none"/>
          <w:lang w:val="en-US" w:eastAsia="zh-CN"/>
        </w:rPr>
        <w:t>1.</w:t>
      </w:r>
      <w:r>
        <w:rPr>
          <w:rFonts w:ascii="宋体" w:hAnsi="宋体"/>
          <w:szCs w:val="22"/>
          <w:highlight w:val="none"/>
          <w:u w:val="single"/>
        </w:rPr>
        <w:t>（ 标 的 名 称 ）</w:t>
      </w:r>
      <w:r>
        <w:rPr>
          <w:rFonts w:ascii="宋体" w:hAnsi="宋体"/>
          <w:szCs w:val="22"/>
          <w:highlight w:val="none"/>
        </w:rPr>
        <w:t xml:space="preserve"> ， 属 于 </w:t>
      </w:r>
      <w:r>
        <w:rPr>
          <w:rFonts w:ascii="宋体" w:hAnsi="宋体"/>
          <w:szCs w:val="22"/>
          <w:highlight w:val="none"/>
          <w:u w:val="single"/>
        </w:rPr>
        <w:t>（ 采 购 文 件 中 明 确 的 所 属 行 业 ）</w:t>
      </w:r>
      <w:r>
        <w:rPr>
          <w:rFonts w:ascii="宋体" w:hAnsi="宋体"/>
          <w:szCs w:val="22"/>
          <w:highlight w:val="none"/>
        </w:rPr>
        <w:t xml:space="preserve"> 行业；制造商为</w:t>
      </w:r>
      <w:r>
        <w:rPr>
          <w:rFonts w:ascii="宋体" w:hAnsi="宋体"/>
          <w:szCs w:val="22"/>
          <w:highlight w:val="none"/>
          <w:u w:val="single"/>
        </w:rPr>
        <w:t>（企业名称）</w:t>
      </w:r>
      <w:r>
        <w:rPr>
          <w:rFonts w:ascii="宋体" w:hAnsi="宋体"/>
          <w:szCs w:val="22"/>
          <w:highlight w:val="none"/>
        </w:rPr>
        <w:t>，从业人员</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人，营业收入为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万元，资产总额为</w:t>
      </w:r>
      <w:r>
        <w:rPr>
          <w:rFonts w:ascii="宋体" w:hAnsi="宋体"/>
          <w:szCs w:val="22"/>
          <w:highlight w:val="none"/>
          <w:u w:val="single"/>
        </w:rPr>
        <w:t xml:space="preserve"> </w:t>
      </w:r>
      <w:r>
        <w:rPr>
          <w:rFonts w:ascii="宋体" w:hAnsi="宋体"/>
          <w:szCs w:val="22"/>
          <w:highlight w:val="none"/>
          <w:u w:val="single"/>
        </w:rPr>
        <w:tab/>
      </w:r>
      <w:r>
        <w:rPr>
          <w:rFonts w:hint="eastAsia" w:ascii="宋体" w:hAnsi="宋体"/>
          <w:szCs w:val="22"/>
          <w:highlight w:val="none"/>
          <w:u w:val="single"/>
          <w:lang w:val="en-US" w:eastAsia="zh-CN"/>
        </w:rPr>
        <w:t xml:space="preserve"> </w:t>
      </w:r>
      <w:r>
        <w:rPr>
          <w:rFonts w:ascii="宋体" w:hAnsi="宋体"/>
          <w:szCs w:val="22"/>
          <w:highlight w:val="none"/>
        </w:rPr>
        <w:t>万元，属于</w:t>
      </w:r>
      <w:r>
        <w:rPr>
          <w:rFonts w:ascii="宋体" w:hAnsi="宋体"/>
          <w:szCs w:val="22"/>
          <w:highlight w:val="none"/>
          <w:u w:val="single"/>
        </w:rPr>
        <w:t>（中型企业、小型企业、微型企业）</w:t>
      </w: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 xml:space="preserve"> </w:t>
      </w:r>
      <w:r>
        <w:rPr>
          <w:rFonts w:hint="eastAsia" w:ascii="宋体" w:hAnsi="宋体"/>
          <w:szCs w:val="22"/>
          <w:highlight w:val="none"/>
          <w:lang w:val="en-US" w:eastAsia="zh-CN"/>
        </w:rPr>
        <w:t>2.</w:t>
      </w:r>
      <w:r>
        <w:rPr>
          <w:rFonts w:ascii="宋体" w:hAnsi="宋体"/>
          <w:szCs w:val="22"/>
          <w:highlight w:val="none"/>
          <w:u w:val="single"/>
        </w:rPr>
        <w:t>（ 标 的 名 称 ）</w:t>
      </w:r>
      <w:r>
        <w:rPr>
          <w:rFonts w:ascii="宋体" w:hAnsi="宋体"/>
          <w:szCs w:val="22"/>
          <w:highlight w:val="none"/>
        </w:rPr>
        <w:t xml:space="preserve"> ， 属 于 </w:t>
      </w:r>
      <w:r>
        <w:rPr>
          <w:rFonts w:ascii="宋体" w:hAnsi="宋体"/>
          <w:szCs w:val="22"/>
          <w:highlight w:val="none"/>
          <w:u w:val="single"/>
        </w:rPr>
        <w:t>（ 采 购 文 件 中 明 确 的 所 属 行 业 ）</w:t>
      </w:r>
      <w:r>
        <w:rPr>
          <w:rFonts w:ascii="宋体" w:hAnsi="宋体"/>
          <w:szCs w:val="22"/>
          <w:highlight w:val="none"/>
        </w:rPr>
        <w:t xml:space="preserve"> 行业；制造商为</w:t>
      </w:r>
      <w:r>
        <w:rPr>
          <w:rFonts w:ascii="宋体" w:hAnsi="宋体"/>
          <w:szCs w:val="22"/>
          <w:highlight w:val="none"/>
          <w:u w:val="single"/>
        </w:rPr>
        <w:t>（企业名称）</w:t>
      </w:r>
      <w:r>
        <w:rPr>
          <w:rFonts w:ascii="宋体" w:hAnsi="宋体"/>
          <w:szCs w:val="22"/>
          <w:highlight w:val="none"/>
        </w:rPr>
        <w:t xml:space="preserve">，从业人员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人，营业收入为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万元，资产总额为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万元，属于</w:t>
      </w:r>
      <w:r>
        <w:rPr>
          <w:rFonts w:ascii="宋体" w:hAnsi="宋体"/>
          <w:szCs w:val="22"/>
          <w:highlight w:val="none"/>
          <w:u w:val="single"/>
        </w:rPr>
        <w:t>（中型企业、小型企业、微型企业）</w:t>
      </w: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szCs w:val="22"/>
          <w:highlight w:val="none"/>
        </w:rPr>
      </w:pPr>
      <w:r>
        <w:rPr>
          <w:rFonts w:ascii="宋体" w:hAnsi="宋体"/>
          <w:szCs w:val="22"/>
          <w:highlight w:val="none"/>
        </w:rPr>
        <w:t>本企业对上述声明内容的真实性负责。如有虚假，将依法承担相应责任。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rFonts w:ascii="宋体" w:hAnsi="宋体" w:eastAsia="方正小标宋简体"/>
          <w:bCs/>
          <w:color w:val="000000"/>
          <w:sz w:val="32"/>
          <w:szCs w:val="32"/>
          <w:highlight w:val="none"/>
        </w:rPr>
      </w:pPr>
      <w:r>
        <w:rPr>
          <w:rFonts w:ascii="宋体" w:hAnsi="宋体" w:eastAsia="方正小标宋简体"/>
          <w:bCs/>
          <w:color w:val="000000"/>
          <w:sz w:val="32"/>
          <w:szCs w:val="32"/>
          <w:highlight w:val="none"/>
        </w:rPr>
        <w:br w:type="page"/>
      </w:r>
    </w:p>
    <w:p>
      <w:pPr>
        <w:tabs>
          <w:tab w:val="left" w:pos="7665"/>
        </w:tabs>
        <w:spacing w:line="440" w:lineRule="exact"/>
        <w:jc w:val="both"/>
        <w:outlineLvl w:val="1"/>
        <w:rPr>
          <w:rFonts w:hint="eastAsia" w:ascii="楷体_GB2312" w:hAnsi="宋体" w:eastAsia="楷体_GB2312"/>
          <w:b/>
          <w:bCs/>
          <w:sz w:val="24"/>
          <w:szCs w:val="24"/>
          <w:highlight w:val="none"/>
          <w:lang w:val="en-US" w:eastAsia="zh-CN"/>
        </w:rPr>
      </w:pPr>
      <w:r>
        <w:rPr>
          <w:rFonts w:hint="eastAsia" w:ascii="楷体_GB2312" w:hAnsi="宋体" w:eastAsia="楷体_GB2312"/>
          <w:b/>
          <w:bCs/>
          <w:sz w:val="24"/>
          <w:szCs w:val="24"/>
          <w:highlight w:val="none"/>
        </w:rPr>
        <w:t>附件</w:t>
      </w:r>
      <w:r>
        <w:rPr>
          <w:rFonts w:hint="eastAsia" w:ascii="楷体_GB2312" w:hAnsi="宋体" w:eastAsia="楷体_GB2312"/>
          <w:b/>
          <w:bCs/>
          <w:sz w:val="24"/>
          <w:szCs w:val="24"/>
          <w:highlight w:val="none"/>
          <w:lang w:val="en-US" w:eastAsia="zh-CN"/>
        </w:rPr>
        <w:t>九</w:t>
      </w:r>
    </w:p>
    <w:p>
      <w:pPr>
        <w:tabs>
          <w:tab w:val="left" w:pos="7665"/>
        </w:tabs>
        <w:spacing w:line="440" w:lineRule="exact"/>
        <w:jc w:val="center"/>
        <w:outlineLvl w:val="1"/>
        <w:rPr>
          <w:rFonts w:eastAsia="方正小标宋简体"/>
          <w:color w:val="000000"/>
          <w:sz w:val="32"/>
          <w:szCs w:val="32"/>
          <w:highlight w:val="none"/>
        </w:rPr>
      </w:pPr>
      <w:r>
        <w:rPr>
          <w:rFonts w:ascii="宋体" w:hAnsi="宋体" w:eastAsia="方正小标宋简体"/>
          <w:bCs/>
          <w:color w:val="000000"/>
          <w:sz w:val="32"/>
          <w:szCs w:val="32"/>
          <w:highlight w:val="none"/>
        </w:rPr>
        <w:t>其他</w:t>
      </w:r>
      <w:r>
        <w:rPr>
          <w:rFonts w:hint="eastAsia" w:ascii="宋体" w:hAnsi="宋体" w:eastAsia="方正小标宋简体"/>
          <w:bCs/>
          <w:color w:val="000000"/>
          <w:sz w:val="32"/>
          <w:szCs w:val="32"/>
          <w:highlight w:val="none"/>
        </w:rPr>
        <w:t>资格证明文件及</w:t>
      </w:r>
      <w:r>
        <w:rPr>
          <w:rFonts w:ascii="宋体" w:hAnsi="宋体" w:eastAsia="方正小标宋简体"/>
          <w:bCs/>
          <w:color w:val="000000"/>
          <w:sz w:val="32"/>
          <w:szCs w:val="32"/>
          <w:highlight w:val="none"/>
        </w:rPr>
        <w:t>资料</w:t>
      </w:r>
      <w:bookmarkEnd w:id="132"/>
    </w:p>
    <w:p>
      <w:pPr>
        <w:autoSpaceDE w:val="0"/>
        <w:autoSpaceDN w:val="0"/>
        <w:adjustRightInd w:val="0"/>
        <w:spacing w:line="440" w:lineRule="exact"/>
        <w:rPr>
          <w:rFonts w:ascii="宋体" w:hAnsi="宋体" w:cs="宋体"/>
          <w:b/>
          <w:color w:val="000000"/>
          <w:sz w:val="24"/>
          <w:szCs w:val="24"/>
          <w:highlight w:val="none"/>
          <w:lang w:val="zh-CN"/>
        </w:rPr>
      </w:pPr>
    </w:p>
    <w:p>
      <w:pPr>
        <w:pStyle w:val="2"/>
        <w:ind w:firstLine="480"/>
        <w:rPr>
          <w:rFonts w:hint="eastAsia"/>
          <w:sz w:val="24"/>
          <w:szCs w:val="24"/>
          <w:highlight w:val="none"/>
        </w:rPr>
      </w:pPr>
    </w:p>
    <w:p>
      <w:pPr>
        <w:pStyle w:val="2"/>
        <w:ind w:left="0" w:leftChars="0" w:firstLine="0" w:firstLineChars="0"/>
        <w:rPr>
          <w:rFonts w:hint="eastAsia"/>
          <w:sz w:val="24"/>
          <w:szCs w:val="24"/>
          <w:highlight w:val="none"/>
        </w:rPr>
      </w:pPr>
    </w:p>
    <w:p>
      <w:pPr>
        <w:pStyle w:val="2"/>
        <w:rPr>
          <w:rFonts w:hint="eastAsia"/>
          <w:sz w:val="24"/>
          <w:szCs w:val="24"/>
          <w:highlight w:val="none"/>
        </w:rPr>
      </w:pPr>
    </w:p>
    <w:p>
      <w:pPr>
        <w:pStyle w:val="2"/>
        <w:ind w:firstLine="480"/>
        <w:rPr>
          <w:rFonts w:hint="eastAsia" w:hAnsi="宋体"/>
          <w:bCs/>
          <w:color w:val="000000"/>
          <w:sz w:val="24"/>
          <w:szCs w:val="24"/>
          <w:highlight w:val="none"/>
        </w:rPr>
      </w:pPr>
      <w:r>
        <w:rPr>
          <w:rFonts w:hint="eastAsia" w:hAnsi="宋体"/>
          <w:bCs/>
          <w:color w:val="000000"/>
          <w:sz w:val="24"/>
          <w:szCs w:val="24"/>
          <w:highlight w:val="none"/>
        </w:rPr>
        <w:t>本节无格式要求，供应商可根据自身实际情况以及采购文件规定的详细评审内容和应当提供的证明材料进行编制</w:t>
      </w:r>
    </w:p>
    <w:p>
      <w:pPr>
        <w:pStyle w:val="13"/>
        <w:spacing w:before="0" w:beforeAutospacing="0" w:after="210" w:afterAutospacing="0" w:line="315" w:lineRule="atLeast"/>
        <w:jc w:val="both"/>
        <w:rPr>
          <w:rFonts w:hint="eastAsia"/>
          <w:b/>
          <w:color w:val="000000"/>
          <w:kern w:val="2"/>
          <w:sz w:val="28"/>
        </w:rPr>
      </w:pPr>
    </w:p>
    <w:p>
      <w:pPr>
        <w:pStyle w:val="13"/>
        <w:spacing w:before="0" w:beforeAutospacing="0" w:after="210" w:afterAutospacing="0" w:line="315" w:lineRule="atLeast"/>
        <w:jc w:val="both"/>
        <w:rPr>
          <w:rFonts w:hint="eastAsia"/>
          <w:b/>
          <w:color w:val="000000"/>
          <w:kern w:val="2"/>
          <w:sz w:val="28"/>
        </w:rPr>
      </w:pPr>
    </w:p>
    <w:p>
      <w:pPr>
        <w:pStyle w:val="13"/>
        <w:spacing w:before="0" w:beforeAutospacing="0" w:after="210" w:afterAutospacing="0" w:line="315" w:lineRule="atLeast"/>
        <w:jc w:val="both"/>
        <w:rPr>
          <w:rFonts w:hint="eastAsia"/>
          <w:b/>
          <w:color w:val="000000"/>
          <w:kern w:val="2"/>
          <w:sz w:val="28"/>
        </w:rPr>
      </w:pPr>
    </w:p>
    <w:p>
      <w:pPr>
        <w:pStyle w:val="2"/>
        <w:ind w:left="0" w:leftChars="0" w:firstLine="0" w:firstLineChars="0"/>
        <w:rPr>
          <w:rFonts w:hint="eastAsia" w:hAnsi="宋体"/>
          <w:bCs/>
          <w:color w:val="000000"/>
          <w:sz w:val="24"/>
        </w:rPr>
      </w:pPr>
    </w:p>
    <w:p/>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1"/>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33</w:t>
                          </w:r>
                          <w:r>
                            <w:rPr>
                              <w:rFonts w:hint="eastAsia" w:eastAsia="宋体"/>
                            </w:rPr>
                            <w:fldChar w:fldCharType="end"/>
                          </w:r>
                          <w:r>
                            <w:rPr>
                              <w:rFonts w:hint="eastAsia" w:eastAsia="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33</w:t>
                    </w:r>
                    <w:r>
                      <w:rPr>
                        <w:rFonts w:hint="eastAsia" w:eastAsia="宋体"/>
                      </w:rPr>
                      <w:fldChar w:fldCharType="end"/>
                    </w:r>
                    <w:r>
                      <w:rPr>
                        <w:rFonts w:hint="eastAsia" w:eastAsia="宋体"/>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1"/>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 xml:space="preserve">编制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询价文件</w:t>
    </w:r>
    <w:r>
      <w:rPr>
        <w:rFonts w:hint="eastAsia" w:ascii="Arial" w:hAnsi="Arial"/>
      </w:rPr>
      <w:t xml:space="preserve">      </w:t>
    </w:r>
    <w:r>
      <w:rPr>
        <w:rFonts w:hint="eastAsia" w:ascii="Arial" w:hAnsi="Arial" w:eastAsia="宋体"/>
      </w:rPr>
      <w:t xml:space="preserve">                                  </w:t>
    </w:r>
    <w:r>
      <w:rPr>
        <w:rFonts w:hint="eastAsia" w:ascii="Arial" w:hAnsi="Arial" w:eastAsia="宋体"/>
        <w:lang w:val="en-US" w:eastAsia="zh-CN"/>
      </w:rPr>
      <w:t xml:space="preserve">              </w:t>
    </w:r>
    <w:r>
      <w:rPr>
        <w:rFonts w:hint="eastAsia" w:ascii="Arial" w:hAnsi="Arial" w:eastAsia="宋体"/>
      </w:rPr>
      <w:t xml:space="preserve">     项目编号：</w:t>
    </w:r>
    <w:r>
      <w:rPr>
        <w:rFonts w:hint="eastAsia" w:ascii="Arial" w:hAnsi="Arial" w:eastAsia="宋体"/>
        <w:lang w:eastAsia="zh-CN"/>
      </w:rPr>
      <w:t>MWZX202</w:t>
    </w:r>
    <w:r>
      <w:rPr>
        <w:rFonts w:hint="eastAsia" w:ascii="Arial" w:hAnsi="Arial" w:eastAsia="宋体"/>
        <w:lang w:val="en-US" w:eastAsia="zh-CN"/>
      </w:rPr>
      <w:t>3-022</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D3A9A9"/>
    <w:multiLevelType w:val="multilevel"/>
    <w:tmpl w:val="FFD3A9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2C52F94C"/>
    <w:multiLevelType w:val="singleLevel"/>
    <w:tmpl w:val="2C52F94C"/>
    <w:lvl w:ilvl="0" w:tentative="0">
      <w:start w:val="1"/>
      <w:numFmt w:val="decimal"/>
      <w:suff w:val="nothing"/>
      <w:lvlText w:val="%1、"/>
      <w:lvlJc w:val="left"/>
    </w:lvl>
  </w:abstractNum>
  <w:abstractNum w:abstractNumId="4">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696977"/>
    <w:rsid w:val="00CF592D"/>
    <w:rsid w:val="00F22F9D"/>
    <w:rsid w:val="00F40800"/>
    <w:rsid w:val="012477C4"/>
    <w:rsid w:val="01260E98"/>
    <w:rsid w:val="012C263D"/>
    <w:rsid w:val="01533DD0"/>
    <w:rsid w:val="01EF64FD"/>
    <w:rsid w:val="01FD7178"/>
    <w:rsid w:val="02056C16"/>
    <w:rsid w:val="02493090"/>
    <w:rsid w:val="02D93C2C"/>
    <w:rsid w:val="030979F9"/>
    <w:rsid w:val="0335790E"/>
    <w:rsid w:val="03B91803"/>
    <w:rsid w:val="03BD5AE4"/>
    <w:rsid w:val="0424498E"/>
    <w:rsid w:val="04367644"/>
    <w:rsid w:val="04382488"/>
    <w:rsid w:val="047451F3"/>
    <w:rsid w:val="04956AA9"/>
    <w:rsid w:val="059D43C6"/>
    <w:rsid w:val="05E5618F"/>
    <w:rsid w:val="06251E49"/>
    <w:rsid w:val="0689439C"/>
    <w:rsid w:val="06D10502"/>
    <w:rsid w:val="06DF2101"/>
    <w:rsid w:val="07CD4764"/>
    <w:rsid w:val="085417CD"/>
    <w:rsid w:val="08964B56"/>
    <w:rsid w:val="08BD1990"/>
    <w:rsid w:val="094915EE"/>
    <w:rsid w:val="09C52250"/>
    <w:rsid w:val="09E55FAF"/>
    <w:rsid w:val="0A4505E1"/>
    <w:rsid w:val="0A896754"/>
    <w:rsid w:val="0A8A566A"/>
    <w:rsid w:val="0B88437F"/>
    <w:rsid w:val="0BB629FB"/>
    <w:rsid w:val="0C122745"/>
    <w:rsid w:val="0C2749AF"/>
    <w:rsid w:val="0CC8547E"/>
    <w:rsid w:val="0CCC10EB"/>
    <w:rsid w:val="0CE576BD"/>
    <w:rsid w:val="0CF3330E"/>
    <w:rsid w:val="0D064516"/>
    <w:rsid w:val="0E0A1E9D"/>
    <w:rsid w:val="0E961DA1"/>
    <w:rsid w:val="0EBB1F1E"/>
    <w:rsid w:val="0EF35F1D"/>
    <w:rsid w:val="0F01529A"/>
    <w:rsid w:val="0F6B6D3C"/>
    <w:rsid w:val="0FD87233"/>
    <w:rsid w:val="10056C11"/>
    <w:rsid w:val="102F57F9"/>
    <w:rsid w:val="10A158D8"/>
    <w:rsid w:val="10B574C3"/>
    <w:rsid w:val="10C006A6"/>
    <w:rsid w:val="10DE6C28"/>
    <w:rsid w:val="11B715C0"/>
    <w:rsid w:val="125E0D3C"/>
    <w:rsid w:val="12BA3C23"/>
    <w:rsid w:val="13DA4490"/>
    <w:rsid w:val="14457175"/>
    <w:rsid w:val="144D3565"/>
    <w:rsid w:val="14541345"/>
    <w:rsid w:val="14C360FA"/>
    <w:rsid w:val="14D26F15"/>
    <w:rsid w:val="152C18E8"/>
    <w:rsid w:val="15CE7D25"/>
    <w:rsid w:val="15D83FA5"/>
    <w:rsid w:val="16325988"/>
    <w:rsid w:val="163B7C20"/>
    <w:rsid w:val="16BB5460"/>
    <w:rsid w:val="17370519"/>
    <w:rsid w:val="175802C6"/>
    <w:rsid w:val="18767FC6"/>
    <w:rsid w:val="18A7530D"/>
    <w:rsid w:val="18BB1D18"/>
    <w:rsid w:val="193D53E0"/>
    <w:rsid w:val="195E16BF"/>
    <w:rsid w:val="197E7C7E"/>
    <w:rsid w:val="19BE148F"/>
    <w:rsid w:val="1AB05F4B"/>
    <w:rsid w:val="1AD0039B"/>
    <w:rsid w:val="1ADB44A5"/>
    <w:rsid w:val="1B1D3966"/>
    <w:rsid w:val="1B285AE1"/>
    <w:rsid w:val="1B903686"/>
    <w:rsid w:val="1C2F2E9F"/>
    <w:rsid w:val="1C351EAA"/>
    <w:rsid w:val="1C39339E"/>
    <w:rsid w:val="1C7D4440"/>
    <w:rsid w:val="1D1876D0"/>
    <w:rsid w:val="1D24052A"/>
    <w:rsid w:val="1DD43CFE"/>
    <w:rsid w:val="1DDE692B"/>
    <w:rsid w:val="1E336742"/>
    <w:rsid w:val="1E7A1CC5"/>
    <w:rsid w:val="1EA177D7"/>
    <w:rsid w:val="1EBD29E4"/>
    <w:rsid w:val="1F046BD5"/>
    <w:rsid w:val="1F077535"/>
    <w:rsid w:val="1F3233D2"/>
    <w:rsid w:val="201D3D37"/>
    <w:rsid w:val="20836C28"/>
    <w:rsid w:val="209351AF"/>
    <w:rsid w:val="20B83463"/>
    <w:rsid w:val="20CA3197"/>
    <w:rsid w:val="20D34741"/>
    <w:rsid w:val="20DC6FB0"/>
    <w:rsid w:val="20EB5F3F"/>
    <w:rsid w:val="210F1AB0"/>
    <w:rsid w:val="21876B7E"/>
    <w:rsid w:val="219978BC"/>
    <w:rsid w:val="21A57357"/>
    <w:rsid w:val="222160CC"/>
    <w:rsid w:val="227C4232"/>
    <w:rsid w:val="229546C2"/>
    <w:rsid w:val="22B5540D"/>
    <w:rsid w:val="22FD7853"/>
    <w:rsid w:val="232B2A94"/>
    <w:rsid w:val="235F72D2"/>
    <w:rsid w:val="24294C0D"/>
    <w:rsid w:val="24352110"/>
    <w:rsid w:val="245B72B5"/>
    <w:rsid w:val="245F73E4"/>
    <w:rsid w:val="24D51192"/>
    <w:rsid w:val="26213018"/>
    <w:rsid w:val="27427F2B"/>
    <w:rsid w:val="278E6B88"/>
    <w:rsid w:val="282F3217"/>
    <w:rsid w:val="284C7B0E"/>
    <w:rsid w:val="286363AA"/>
    <w:rsid w:val="28921621"/>
    <w:rsid w:val="28D41056"/>
    <w:rsid w:val="28D82F98"/>
    <w:rsid w:val="296A3FE0"/>
    <w:rsid w:val="29CB008D"/>
    <w:rsid w:val="29FE160F"/>
    <w:rsid w:val="2A25471E"/>
    <w:rsid w:val="2AC05D36"/>
    <w:rsid w:val="2B1D4315"/>
    <w:rsid w:val="2BA72953"/>
    <w:rsid w:val="2BD34115"/>
    <w:rsid w:val="2C673CB2"/>
    <w:rsid w:val="2C6A27C5"/>
    <w:rsid w:val="2CE73DBC"/>
    <w:rsid w:val="2D0D0FDB"/>
    <w:rsid w:val="2D236016"/>
    <w:rsid w:val="2E015289"/>
    <w:rsid w:val="2E073C7C"/>
    <w:rsid w:val="2E6B300E"/>
    <w:rsid w:val="2E77178B"/>
    <w:rsid w:val="2E8D0300"/>
    <w:rsid w:val="2ECD18B8"/>
    <w:rsid w:val="2EF142B8"/>
    <w:rsid w:val="2F041B0B"/>
    <w:rsid w:val="2F675262"/>
    <w:rsid w:val="301D24C6"/>
    <w:rsid w:val="30586AC1"/>
    <w:rsid w:val="30717477"/>
    <w:rsid w:val="30761A30"/>
    <w:rsid w:val="308E2CC7"/>
    <w:rsid w:val="30D255C6"/>
    <w:rsid w:val="3157178B"/>
    <w:rsid w:val="31662A68"/>
    <w:rsid w:val="316804E5"/>
    <w:rsid w:val="31C974C5"/>
    <w:rsid w:val="32BD2958"/>
    <w:rsid w:val="32EA4B3A"/>
    <w:rsid w:val="331E6390"/>
    <w:rsid w:val="33297EE7"/>
    <w:rsid w:val="333F17C2"/>
    <w:rsid w:val="33CB12A8"/>
    <w:rsid w:val="33CF25C7"/>
    <w:rsid w:val="33DA5C21"/>
    <w:rsid w:val="33F86541"/>
    <w:rsid w:val="33FF1277"/>
    <w:rsid w:val="342A7568"/>
    <w:rsid w:val="35260974"/>
    <w:rsid w:val="35D1291E"/>
    <w:rsid w:val="35D86236"/>
    <w:rsid w:val="362710CE"/>
    <w:rsid w:val="36A465DC"/>
    <w:rsid w:val="36CC7811"/>
    <w:rsid w:val="36F739D2"/>
    <w:rsid w:val="37083688"/>
    <w:rsid w:val="379B0CFB"/>
    <w:rsid w:val="37CE595C"/>
    <w:rsid w:val="380638D8"/>
    <w:rsid w:val="38184EA0"/>
    <w:rsid w:val="38562D62"/>
    <w:rsid w:val="38B247E4"/>
    <w:rsid w:val="390C08C2"/>
    <w:rsid w:val="39F75768"/>
    <w:rsid w:val="3A6C029D"/>
    <w:rsid w:val="3AF10936"/>
    <w:rsid w:val="3B7B4C3A"/>
    <w:rsid w:val="3B843F4F"/>
    <w:rsid w:val="3BFF6DA2"/>
    <w:rsid w:val="3C6479B1"/>
    <w:rsid w:val="3C6B72EE"/>
    <w:rsid w:val="3C870890"/>
    <w:rsid w:val="3CE710CB"/>
    <w:rsid w:val="3D7E5ECA"/>
    <w:rsid w:val="3D9004CC"/>
    <w:rsid w:val="3E1B1B8B"/>
    <w:rsid w:val="3E7041CD"/>
    <w:rsid w:val="3EE8639E"/>
    <w:rsid w:val="3EE901E9"/>
    <w:rsid w:val="3F3501F2"/>
    <w:rsid w:val="3F932188"/>
    <w:rsid w:val="3FA255B3"/>
    <w:rsid w:val="3FBC73E0"/>
    <w:rsid w:val="40074A21"/>
    <w:rsid w:val="4018286B"/>
    <w:rsid w:val="414E0D7B"/>
    <w:rsid w:val="419063A4"/>
    <w:rsid w:val="41AF011B"/>
    <w:rsid w:val="42875C74"/>
    <w:rsid w:val="42957651"/>
    <w:rsid w:val="42F5368F"/>
    <w:rsid w:val="43600DFA"/>
    <w:rsid w:val="4364243E"/>
    <w:rsid w:val="43F021B9"/>
    <w:rsid w:val="43F85FDB"/>
    <w:rsid w:val="44114AB5"/>
    <w:rsid w:val="441E71D2"/>
    <w:rsid w:val="442C472D"/>
    <w:rsid w:val="44B83777"/>
    <w:rsid w:val="45010FCD"/>
    <w:rsid w:val="45250F40"/>
    <w:rsid w:val="45663E43"/>
    <w:rsid w:val="45A223DF"/>
    <w:rsid w:val="45F620C6"/>
    <w:rsid w:val="461E170B"/>
    <w:rsid w:val="46840851"/>
    <w:rsid w:val="47396AF7"/>
    <w:rsid w:val="47570D7E"/>
    <w:rsid w:val="47934163"/>
    <w:rsid w:val="47FC5511"/>
    <w:rsid w:val="483365E4"/>
    <w:rsid w:val="485B5C2A"/>
    <w:rsid w:val="48A628FF"/>
    <w:rsid w:val="49267254"/>
    <w:rsid w:val="495060A3"/>
    <w:rsid w:val="497444C6"/>
    <w:rsid w:val="49CC2899"/>
    <w:rsid w:val="4A340911"/>
    <w:rsid w:val="4A514478"/>
    <w:rsid w:val="4A7337D3"/>
    <w:rsid w:val="4AE64EED"/>
    <w:rsid w:val="4AF3384F"/>
    <w:rsid w:val="4B906C07"/>
    <w:rsid w:val="4B973C17"/>
    <w:rsid w:val="4B996E88"/>
    <w:rsid w:val="4BDD1350"/>
    <w:rsid w:val="4C386BC2"/>
    <w:rsid w:val="4C7F0F82"/>
    <w:rsid w:val="4CFF3D44"/>
    <w:rsid w:val="4D1512A7"/>
    <w:rsid w:val="4D417111"/>
    <w:rsid w:val="4DC23DE0"/>
    <w:rsid w:val="4E133845"/>
    <w:rsid w:val="4EDB1803"/>
    <w:rsid w:val="4F22226C"/>
    <w:rsid w:val="4F2E5050"/>
    <w:rsid w:val="4F60052A"/>
    <w:rsid w:val="4F93316A"/>
    <w:rsid w:val="4FB82666"/>
    <w:rsid w:val="4FE426A8"/>
    <w:rsid w:val="50125E47"/>
    <w:rsid w:val="501A5CAF"/>
    <w:rsid w:val="502138B9"/>
    <w:rsid w:val="50F44295"/>
    <w:rsid w:val="50FD4D3F"/>
    <w:rsid w:val="51485C7A"/>
    <w:rsid w:val="518A40F8"/>
    <w:rsid w:val="51C94C21"/>
    <w:rsid w:val="521B59A5"/>
    <w:rsid w:val="523A7B19"/>
    <w:rsid w:val="5268443A"/>
    <w:rsid w:val="52C16FB2"/>
    <w:rsid w:val="530159D1"/>
    <w:rsid w:val="533103B1"/>
    <w:rsid w:val="53E61118"/>
    <w:rsid w:val="54027B1A"/>
    <w:rsid w:val="54414F42"/>
    <w:rsid w:val="54A21247"/>
    <w:rsid w:val="55441EF7"/>
    <w:rsid w:val="5556532F"/>
    <w:rsid w:val="55612031"/>
    <w:rsid w:val="55973073"/>
    <w:rsid w:val="55C23E61"/>
    <w:rsid w:val="55E62613"/>
    <w:rsid w:val="56110E8F"/>
    <w:rsid w:val="56375747"/>
    <w:rsid w:val="56D92148"/>
    <w:rsid w:val="56DB592B"/>
    <w:rsid w:val="572B3C88"/>
    <w:rsid w:val="57A1429B"/>
    <w:rsid w:val="57F72AF8"/>
    <w:rsid w:val="58131B4F"/>
    <w:rsid w:val="58BC1C4D"/>
    <w:rsid w:val="58C73638"/>
    <w:rsid w:val="58D9206D"/>
    <w:rsid w:val="58DA71DD"/>
    <w:rsid w:val="58DA7242"/>
    <w:rsid w:val="590131F0"/>
    <w:rsid w:val="59725B9E"/>
    <w:rsid w:val="5A382109"/>
    <w:rsid w:val="5A5479F9"/>
    <w:rsid w:val="5A5E2CA6"/>
    <w:rsid w:val="5A8E2EAB"/>
    <w:rsid w:val="5B244C37"/>
    <w:rsid w:val="5B536850"/>
    <w:rsid w:val="5B5A24FB"/>
    <w:rsid w:val="5B806AFB"/>
    <w:rsid w:val="5CAA0657"/>
    <w:rsid w:val="5CC76201"/>
    <w:rsid w:val="5D2057FF"/>
    <w:rsid w:val="5D8B5480"/>
    <w:rsid w:val="5D990F34"/>
    <w:rsid w:val="5E3E4662"/>
    <w:rsid w:val="5E440D64"/>
    <w:rsid w:val="5E666277"/>
    <w:rsid w:val="5EC20BC1"/>
    <w:rsid w:val="5F0A282C"/>
    <w:rsid w:val="5F8B4917"/>
    <w:rsid w:val="5FCC4845"/>
    <w:rsid w:val="60153732"/>
    <w:rsid w:val="6034255E"/>
    <w:rsid w:val="60A741B3"/>
    <w:rsid w:val="60AD7B4A"/>
    <w:rsid w:val="60E833F6"/>
    <w:rsid w:val="61E013EF"/>
    <w:rsid w:val="62104E47"/>
    <w:rsid w:val="622E0A39"/>
    <w:rsid w:val="624621F8"/>
    <w:rsid w:val="62985B32"/>
    <w:rsid w:val="62AB7A88"/>
    <w:rsid w:val="649B7500"/>
    <w:rsid w:val="652E31A6"/>
    <w:rsid w:val="65686478"/>
    <w:rsid w:val="66021BF1"/>
    <w:rsid w:val="66192D3E"/>
    <w:rsid w:val="666E088E"/>
    <w:rsid w:val="668923DF"/>
    <w:rsid w:val="66CD1B1D"/>
    <w:rsid w:val="66DF4DFB"/>
    <w:rsid w:val="67D00BCD"/>
    <w:rsid w:val="68631483"/>
    <w:rsid w:val="692C7C7C"/>
    <w:rsid w:val="69390548"/>
    <w:rsid w:val="69637CB4"/>
    <w:rsid w:val="6A0B539D"/>
    <w:rsid w:val="6A1F58CE"/>
    <w:rsid w:val="6AB0093D"/>
    <w:rsid w:val="6AED7651"/>
    <w:rsid w:val="6B1008F6"/>
    <w:rsid w:val="6B172499"/>
    <w:rsid w:val="6B4F6669"/>
    <w:rsid w:val="6BEA38E5"/>
    <w:rsid w:val="6BEA7563"/>
    <w:rsid w:val="6D6A5C3A"/>
    <w:rsid w:val="6DFF4911"/>
    <w:rsid w:val="6E1B09D7"/>
    <w:rsid w:val="6E572229"/>
    <w:rsid w:val="6F7D5121"/>
    <w:rsid w:val="6F9362C7"/>
    <w:rsid w:val="6FC70866"/>
    <w:rsid w:val="70022C0D"/>
    <w:rsid w:val="70253E58"/>
    <w:rsid w:val="70A1043E"/>
    <w:rsid w:val="71AD5C45"/>
    <w:rsid w:val="71E13396"/>
    <w:rsid w:val="721548E8"/>
    <w:rsid w:val="724F67FB"/>
    <w:rsid w:val="726107A8"/>
    <w:rsid w:val="729E73B7"/>
    <w:rsid w:val="72B3721D"/>
    <w:rsid w:val="72D50275"/>
    <w:rsid w:val="73075151"/>
    <w:rsid w:val="73131B5D"/>
    <w:rsid w:val="7340217A"/>
    <w:rsid w:val="7357334E"/>
    <w:rsid w:val="73FE5085"/>
    <w:rsid w:val="748E4E5B"/>
    <w:rsid w:val="74A0320D"/>
    <w:rsid w:val="74C5152C"/>
    <w:rsid w:val="766D2BB6"/>
    <w:rsid w:val="76872831"/>
    <w:rsid w:val="76A2643D"/>
    <w:rsid w:val="76E22B4B"/>
    <w:rsid w:val="77196EB8"/>
    <w:rsid w:val="771E48FE"/>
    <w:rsid w:val="773351D1"/>
    <w:rsid w:val="774921DC"/>
    <w:rsid w:val="777518FB"/>
    <w:rsid w:val="77F57E57"/>
    <w:rsid w:val="7820118F"/>
    <w:rsid w:val="783562BD"/>
    <w:rsid w:val="78451766"/>
    <w:rsid w:val="78567617"/>
    <w:rsid w:val="788521B2"/>
    <w:rsid w:val="78FC487D"/>
    <w:rsid w:val="790068CB"/>
    <w:rsid w:val="793120E4"/>
    <w:rsid w:val="79C740D7"/>
    <w:rsid w:val="7A0F24C4"/>
    <w:rsid w:val="7A99521E"/>
    <w:rsid w:val="7A9E283F"/>
    <w:rsid w:val="7B314910"/>
    <w:rsid w:val="7B546EAD"/>
    <w:rsid w:val="7B650E57"/>
    <w:rsid w:val="7BAC79BC"/>
    <w:rsid w:val="7BC263B0"/>
    <w:rsid w:val="7C3D2C4D"/>
    <w:rsid w:val="7C572CA5"/>
    <w:rsid w:val="7C5C1418"/>
    <w:rsid w:val="7D056BA5"/>
    <w:rsid w:val="7D080444"/>
    <w:rsid w:val="7D2F24E6"/>
    <w:rsid w:val="7D8C2E23"/>
    <w:rsid w:val="7E2F127D"/>
    <w:rsid w:val="7E6D04C1"/>
    <w:rsid w:val="7E837D82"/>
    <w:rsid w:val="7E902A87"/>
    <w:rsid w:val="7EAF0B77"/>
    <w:rsid w:val="7ECE13AF"/>
    <w:rsid w:val="7EDB24ED"/>
    <w:rsid w:val="7F21051C"/>
    <w:rsid w:val="7F543603"/>
    <w:rsid w:val="7F611513"/>
    <w:rsid w:val="7F832A70"/>
    <w:rsid w:val="7FEB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24"/>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Courier New" w:hAnsi="Courier New" w:eastAsia="Courier New" w:cs="Times New Roman"/>
      <w:b/>
      <w:bCs/>
      <w:sz w:val="32"/>
      <w:szCs w:val="32"/>
    </w:rPr>
  </w:style>
  <w:style w:type="paragraph" w:styleId="6">
    <w:name w:val="heading 3"/>
    <w:basedOn w:val="1"/>
    <w:next w:val="1"/>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34"/>
    <w:pPr>
      <w:ind w:firstLine="420" w:firstLineChars="200"/>
    </w:pPr>
  </w:style>
  <w:style w:type="paragraph" w:styleId="3">
    <w:name w:val="index 5"/>
    <w:basedOn w:val="1"/>
    <w:next w:val="1"/>
    <w:unhideWhenUsed/>
    <w:qFormat/>
    <w:uiPriority w:val="99"/>
    <w:pPr>
      <w:ind w:left="800" w:leftChars="800"/>
    </w:p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Body Text 3"/>
    <w:basedOn w:val="1"/>
    <w:qFormat/>
    <w:uiPriority w:val="0"/>
    <w:pPr>
      <w:spacing w:after="120" w:afterLines="0"/>
    </w:pPr>
    <w:rPr>
      <w:rFonts w:ascii="Times New Roman" w:hAnsi="Times New Roman" w:eastAsia="宋体" w:cs="Times New Roman"/>
      <w:sz w:val="16"/>
      <w:szCs w:val="16"/>
    </w:rPr>
  </w:style>
  <w:style w:type="paragraph" w:styleId="9">
    <w:name w:val="Body Text"/>
    <w:basedOn w:val="1"/>
    <w:qFormat/>
    <w:uiPriority w:val="0"/>
    <w:pPr>
      <w:spacing w:after="120" w:afterLines="0"/>
    </w:pPr>
    <w:rPr>
      <w:rFonts w:ascii="Times New Roman" w:hAnsi="Times New Roman" w:eastAsia="宋体" w:cs="Times New Roman"/>
    </w:rPr>
  </w:style>
  <w:style w:type="paragraph" w:styleId="10">
    <w:name w:val="Plain Text"/>
    <w:basedOn w:val="1"/>
    <w:qFormat/>
    <w:uiPriority w:val="0"/>
    <w:rPr>
      <w:rFonts w:ascii="Arial" w:hAnsi="΢ȭхڢ, ڌ墬 Verdana" w:eastAsia="Arial" w:cs="΢ȭхڢ, ڌ墬 Verdana"/>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rFonts w:ascii="Times New Roman" w:hAnsi="Times New Roman" w:eastAsia="Arial" w:cs="Times New Roman"/>
      <w:kern w:val="2"/>
      <w:sz w:val="18"/>
      <w:szCs w:val="18"/>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Arial" w:cs="Times New Roman"/>
      <w:kern w:val="2"/>
      <w:sz w:val="18"/>
      <w:szCs w:val="18"/>
      <w:lang w:val="en-US" w:eastAsia="zh-CN" w:bidi="ar-SA"/>
    </w:rPr>
  </w:style>
  <w:style w:type="paragraph" w:styleId="13">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TOC 标题1"/>
    <w:basedOn w:val="4"/>
    <w:next w:val="1"/>
    <w:qFormat/>
    <w:uiPriority w:val="39"/>
    <w:pPr>
      <w:spacing w:before="480" w:line="276" w:lineRule="auto"/>
      <w:outlineLvl w:val="9"/>
    </w:pPr>
    <w:rPr>
      <w:rFonts w:ascii="仿宋" w:hAnsi="仿宋" w:eastAsia="仿宋"/>
      <w:color w:val="000000"/>
      <w:kern w:val="0"/>
      <w:sz w:val="32"/>
      <w:szCs w:val="32"/>
    </w:rPr>
  </w:style>
  <w:style w:type="paragraph" w:customStyle="1" w:styleId="18">
    <w:name w:val="Body Text First Indent 21"/>
    <w:basedOn w:val="19"/>
    <w:qFormat/>
    <w:uiPriority w:val="0"/>
    <w:pPr>
      <w:tabs>
        <w:tab w:val="left" w:pos="5580"/>
      </w:tabs>
      <w:spacing w:before="120" w:beforeLines="0" w:after="120" w:afterLines="0"/>
      <w:ind w:left="420" w:leftChars="200" w:firstLine="420" w:firstLineChars="200"/>
    </w:pPr>
    <w:rPr>
      <w:kern w:val="0"/>
      <w:lang w:val="zh-CN"/>
    </w:rPr>
  </w:style>
  <w:style w:type="paragraph" w:customStyle="1" w:styleId="19">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0">
    <w:name w:val="章正文"/>
    <w:basedOn w:val="1"/>
    <w:qFormat/>
    <w:uiPriority w:val="0"/>
    <w:pPr>
      <w:spacing w:before="50" w:beforeLines="50" w:after="120" w:line="300" w:lineRule="auto"/>
      <w:ind w:firstLine="480"/>
    </w:pPr>
    <w:rPr>
      <w:rFonts w:ascii="Helvetica" w:hAnsi="Helvetica"/>
      <w:sz w:val="24"/>
    </w:rPr>
  </w:style>
  <w:style w:type="paragraph" w:customStyle="1" w:styleId="21">
    <w:name w:val="List Paragraph"/>
    <w:basedOn w:val="1"/>
    <w:next w:val="3"/>
    <w:qFormat/>
    <w:uiPriority w:val="0"/>
    <w:pPr>
      <w:ind w:firstLine="420" w:firstLineChars="200"/>
    </w:pPr>
    <w:rPr>
      <w:rFonts w:ascii="Calibri" w:hAnsi="Calibri" w:cs="黑体"/>
      <w:szCs w:val="22"/>
    </w:rPr>
  </w:style>
  <w:style w:type="paragraph" w:customStyle="1" w:styleId="22">
    <w:name w:val="正文1"/>
    <w:qFormat/>
    <w:uiPriority w:val="0"/>
    <w:pPr>
      <w:widowControl w:val="0"/>
      <w:adjustRightInd w:val="0"/>
      <w:spacing w:line="360" w:lineRule="atLeast"/>
    </w:pPr>
    <w:rPr>
      <w:rFonts w:hint="eastAsia" w:ascii="宋体" w:hAnsi="Calibri" w:eastAsia="宋体" w:cs="Times New Roman"/>
      <w:sz w:val="34"/>
      <w:lang w:val="en-US" w:eastAsia="zh-CN" w:bidi="ar-SA"/>
    </w:rPr>
  </w:style>
  <w:style w:type="paragraph" w:customStyle="1" w:styleId="23">
    <w:name w:val="WPSOffice手动目录 1"/>
    <w:qFormat/>
    <w:uiPriority w:val="0"/>
    <w:rPr>
      <w:rFonts w:ascii="Calibri" w:hAnsi="Calibri" w:eastAsia="宋体" w:cs="Times New Roman"/>
      <w:lang w:val="en-US" w:eastAsia="zh-CN" w:bidi="ar-SA"/>
    </w:rPr>
  </w:style>
  <w:style w:type="character" w:customStyle="1" w:styleId="24">
    <w:name w:val="标题 1 Char"/>
    <w:link w:val="4"/>
    <w:qFormat/>
    <w:uiPriority w:val="0"/>
    <w:rPr>
      <w:rFonts w:ascii="Times New Roman" w:hAnsi="Times New Roman" w:eastAsia="宋体" w:cs="Times New Roman"/>
      <w:b/>
      <w:bCs/>
      <w:kern w:val="44"/>
      <w:sz w:val="44"/>
      <w:szCs w:val="44"/>
    </w:rPr>
  </w:style>
  <w:style w:type="paragraph" w:customStyle="1" w:styleId="25">
    <w:name w:val="样式 标题 2 + Times New Roman 四号 非加粗 段前: 5 磅 段后: 0 磅 行距: 固定值 20..."/>
    <w:basedOn w:val="5"/>
    <w:qFormat/>
    <w:uiPriority w:val="0"/>
    <w:pPr>
      <w:spacing w:before="100" w:beforeLines="0" w:after="0" w:afterLines="0" w:line="400" w:lineRule="exact"/>
    </w:pPr>
    <w:rPr>
      <w:rFonts w:ascii="Cambria" w:hAnsi="Cambria" w:eastAsia="宋体" w:cs="Arial"/>
      <w:b w:val="0"/>
      <w:bCs w:val="0"/>
      <w:sz w:val="28"/>
      <w:szCs w:val="20"/>
    </w:rPr>
  </w:style>
  <w:style w:type="paragraph" w:customStyle="1" w:styleId="26">
    <w:name w:val="（符号）二标题总则"/>
    <w:basedOn w:val="1"/>
    <w:qFormat/>
    <w:uiPriority w:val="0"/>
    <w:pPr>
      <w:spacing w:before="312" w:beforeLines="100" w:after="312" w:afterLines="100" w:line="500" w:lineRule="exact"/>
      <w:jc w:val="center"/>
      <w:outlineLvl w:val="1"/>
    </w:pPr>
    <w:rPr>
      <w:rFonts w:ascii="黑体" w:hAnsi="Times New Roman" w:eastAsia="黑体" w:cs="宋体"/>
      <w:b/>
      <w:bCs/>
      <w:szCs w:val="32"/>
    </w:rPr>
  </w:style>
  <w:style w:type="paragraph" w:customStyle="1" w:styleId="27">
    <w:name w:val="列表段落1"/>
    <w:basedOn w:val="1"/>
    <w:qFormat/>
    <w:uiPriority w:val="0"/>
    <w:pPr>
      <w:ind w:firstLine="420" w:firstLineChars="200"/>
    </w:pPr>
  </w:style>
  <w:style w:type="character" w:customStyle="1" w:styleId="28">
    <w:name w:val="无"/>
    <w:qFormat/>
    <w:uiPriority w:val="99"/>
  </w:style>
  <w:style w:type="character" w:customStyle="1" w:styleId="29">
    <w:name w:val="font01"/>
    <w:basedOn w:val="16"/>
    <w:qFormat/>
    <w:uiPriority w:val="0"/>
    <w:rPr>
      <w:rFonts w:hint="eastAsia" w:ascii="宋体" w:hAnsi="宋体" w:eastAsia="宋体" w:cs="宋体"/>
      <w:color w:val="000000"/>
      <w:sz w:val="24"/>
      <w:szCs w:val="24"/>
      <w:u w:val="none"/>
    </w:rPr>
  </w:style>
  <w:style w:type="character" w:customStyle="1" w:styleId="30">
    <w:name w:val="font31"/>
    <w:basedOn w:val="16"/>
    <w:qFormat/>
    <w:uiPriority w:val="0"/>
    <w:rPr>
      <w:rFonts w:hint="default" w:ascii="Arial" w:hAnsi="Arial" w:cs="Arial"/>
      <w:color w:val="000000"/>
      <w:sz w:val="24"/>
      <w:szCs w:val="24"/>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2021-05-26T01:07:00Z</dcterms:created>
  <dc:creator>Administrator</dc:creator>
  <cp:lastModifiedBy>Administrator</cp:lastModifiedBy>
  <cp:lastPrinted>2022-03-15T03:22:00Z</cp:lastPrinted>
  <dcterms:modified xsi:type="dcterms:W3CDTF">2023-11-03T02:29:55Z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D4CE81E8BA6F42E995D8E04C4037925C</vt:lpwstr>
  </property>
</Properties>
</file>